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FD7E" w14:textId="4B8A7AEA" w:rsidR="00473A9D" w:rsidRDefault="00473A9D" w:rsidP="00473A9D">
      <w:pPr>
        <w:spacing w:after="0" w:line="240" w:lineRule="auto"/>
        <w:jc w:val="center"/>
        <w:rPr>
          <w:rFonts w:ascii="Calibri" w:hAnsi="Calibri" w:cs="Calibri"/>
          <w:b/>
          <w:bCs/>
        </w:rPr>
      </w:pPr>
      <w:r>
        <w:rPr>
          <w:rFonts w:ascii="Calibri" w:hAnsi="Calibri" w:cs="Calibri"/>
          <w:b/>
          <w:bCs/>
        </w:rPr>
        <w:t>South Dublin County Partnership</w:t>
      </w:r>
    </w:p>
    <w:p w14:paraId="211174F4" w14:textId="60534690" w:rsidR="008F595F" w:rsidRDefault="005A66D0" w:rsidP="00473A9D">
      <w:pPr>
        <w:spacing w:after="0" w:line="240" w:lineRule="auto"/>
        <w:jc w:val="center"/>
        <w:rPr>
          <w:rFonts w:ascii="Calibri" w:hAnsi="Calibri" w:cs="Calibri"/>
          <w:b/>
          <w:bCs/>
        </w:rPr>
      </w:pPr>
      <w:r>
        <w:rPr>
          <w:rFonts w:ascii="Calibri" w:hAnsi="Calibri" w:cs="Calibri"/>
          <w:b/>
          <w:bCs/>
        </w:rPr>
        <w:t>TDATF Coordinator</w:t>
      </w:r>
    </w:p>
    <w:p w14:paraId="3127DB6B" w14:textId="77777777" w:rsidR="008F595F" w:rsidRDefault="008F595F" w:rsidP="006A5CF6">
      <w:pPr>
        <w:spacing w:after="0" w:line="240" w:lineRule="auto"/>
        <w:rPr>
          <w:rFonts w:ascii="Calibri" w:hAnsi="Calibri" w:cs="Calibri"/>
          <w:b/>
          <w:bCs/>
        </w:rPr>
      </w:pPr>
    </w:p>
    <w:p w14:paraId="6C425778" w14:textId="35C06678" w:rsidR="006A5CF6" w:rsidRDefault="003607FF" w:rsidP="006A5CF6">
      <w:pPr>
        <w:spacing w:after="0" w:line="240" w:lineRule="auto"/>
        <w:rPr>
          <w:rFonts w:ascii="Calibri" w:hAnsi="Calibri" w:cs="Calibri"/>
          <w:b/>
          <w:bCs/>
        </w:rPr>
      </w:pPr>
      <w:r>
        <w:rPr>
          <w:rFonts w:ascii="Calibri" w:hAnsi="Calibri" w:cs="Calibri"/>
          <w:b/>
          <w:bCs/>
        </w:rPr>
        <w:t xml:space="preserve">Role: </w:t>
      </w:r>
      <w:r w:rsidR="006A5CF6">
        <w:rPr>
          <w:rFonts w:ascii="Calibri" w:hAnsi="Calibri" w:cs="Calibri"/>
          <w:b/>
          <w:bCs/>
        </w:rPr>
        <w:tab/>
      </w:r>
      <w:r w:rsidR="006A5CF6">
        <w:rPr>
          <w:rFonts w:ascii="Calibri" w:hAnsi="Calibri" w:cs="Calibri"/>
          <w:b/>
          <w:bCs/>
        </w:rPr>
        <w:tab/>
      </w:r>
      <w:r w:rsidR="00C34908" w:rsidRPr="006A5CF6">
        <w:rPr>
          <w:rFonts w:ascii="Calibri" w:hAnsi="Calibri" w:cs="Calibri"/>
        </w:rPr>
        <w:t>Tallaght Drugs and Alcohol Task Force Coordinator</w:t>
      </w:r>
    </w:p>
    <w:p w14:paraId="6F6ABF99" w14:textId="77777777" w:rsidR="006A5CF6" w:rsidRDefault="006A5CF6" w:rsidP="006A5CF6">
      <w:pPr>
        <w:spacing w:after="0" w:line="240" w:lineRule="auto"/>
        <w:rPr>
          <w:rFonts w:ascii="Calibri" w:hAnsi="Calibri" w:cs="Calibri"/>
          <w:b/>
          <w:bCs/>
        </w:rPr>
      </w:pPr>
    </w:p>
    <w:p w14:paraId="2E185E38" w14:textId="48228590" w:rsidR="006A5CF6" w:rsidRDefault="006A5CF6" w:rsidP="006A5CF6">
      <w:pPr>
        <w:spacing w:after="0" w:line="240" w:lineRule="auto"/>
        <w:rPr>
          <w:rFonts w:ascii="Calibri" w:hAnsi="Calibri" w:cs="Calibri"/>
          <w:b/>
          <w:bCs/>
        </w:rPr>
      </w:pPr>
      <w:r>
        <w:rPr>
          <w:rFonts w:ascii="Calibri" w:hAnsi="Calibri" w:cs="Calibri"/>
          <w:b/>
          <w:bCs/>
        </w:rPr>
        <w:t xml:space="preserve">Employer: </w:t>
      </w:r>
      <w:r>
        <w:rPr>
          <w:rFonts w:ascii="Calibri" w:hAnsi="Calibri" w:cs="Calibri"/>
          <w:b/>
          <w:bCs/>
        </w:rPr>
        <w:tab/>
      </w:r>
      <w:r w:rsidRPr="006A5CF6">
        <w:rPr>
          <w:rFonts w:ascii="Calibri" w:hAnsi="Calibri" w:cs="Calibri"/>
        </w:rPr>
        <w:t>South Dublin County Partnership</w:t>
      </w:r>
    </w:p>
    <w:p w14:paraId="1683E8D7" w14:textId="77777777" w:rsidR="006A5CF6" w:rsidRDefault="006A5CF6" w:rsidP="006A5CF6">
      <w:pPr>
        <w:spacing w:after="0" w:line="240" w:lineRule="auto"/>
        <w:rPr>
          <w:rFonts w:ascii="Calibri" w:hAnsi="Calibri" w:cs="Calibri"/>
          <w:b/>
          <w:bCs/>
        </w:rPr>
      </w:pPr>
    </w:p>
    <w:p w14:paraId="748602E3" w14:textId="6D454C10" w:rsidR="006A5CF6" w:rsidRDefault="006A5CF6" w:rsidP="006A5CF6">
      <w:pPr>
        <w:spacing w:after="0" w:line="240" w:lineRule="auto"/>
        <w:rPr>
          <w:rFonts w:ascii="Calibri" w:hAnsi="Calibri" w:cs="Calibri"/>
          <w:b/>
          <w:bCs/>
        </w:rPr>
      </w:pPr>
      <w:r>
        <w:rPr>
          <w:rFonts w:ascii="Calibri" w:hAnsi="Calibri" w:cs="Calibri"/>
          <w:b/>
          <w:bCs/>
        </w:rPr>
        <w:t xml:space="preserve">Hours: </w:t>
      </w:r>
      <w:r>
        <w:rPr>
          <w:rFonts w:ascii="Calibri" w:hAnsi="Calibri" w:cs="Calibri"/>
          <w:b/>
          <w:bCs/>
        </w:rPr>
        <w:tab/>
      </w:r>
      <w:r>
        <w:rPr>
          <w:rFonts w:ascii="Calibri" w:hAnsi="Calibri" w:cs="Calibri"/>
          <w:b/>
          <w:bCs/>
        </w:rPr>
        <w:tab/>
      </w:r>
      <w:r w:rsidRPr="006A5CF6">
        <w:rPr>
          <w:rFonts w:ascii="Calibri" w:hAnsi="Calibri" w:cs="Calibri"/>
        </w:rPr>
        <w:t>35 hours per week</w:t>
      </w:r>
    </w:p>
    <w:p w14:paraId="518AFA9F" w14:textId="77777777" w:rsidR="006A5CF6" w:rsidRDefault="006A5CF6" w:rsidP="006A5CF6">
      <w:pPr>
        <w:spacing w:after="0" w:line="240" w:lineRule="auto"/>
        <w:rPr>
          <w:rFonts w:ascii="Calibri" w:hAnsi="Calibri" w:cs="Calibri"/>
          <w:b/>
          <w:bCs/>
        </w:rPr>
      </w:pPr>
    </w:p>
    <w:p w14:paraId="2682F198" w14:textId="5D8850A7" w:rsidR="006A5CF6" w:rsidRPr="003607FF" w:rsidRDefault="006A5CF6" w:rsidP="006A5CF6">
      <w:pPr>
        <w:spacing w:after="0" w:line="240" w:lineRule="auto"/>
        <w:rPr>
          <w:rFonts w:ascii="Calibri" w:hAnsi="Calibri" w:cs="Calibri"/>
          <w:b/>
          <w:bCs/>
        </w:rPr>
      </w:pPr>
      <w:r>
        <w:rPr>
          <w:rFonts w:ascii="Calibri" w:hAnsi="Calibri" w:cs="Calibri"/>
          <w:b/>
          <w:bCs/>
        </w:rPr>
        <w:t xml:space="preserve">Location: </w:t>
      </w:r>
      <w:r>
        <w:rPr>
          <w:rFonts w:ascii="Calibri" w:hAnsi="Calibri" w:cs="Calibri"/>
          <w:b/>
          <w:bCs/>
        </w:rPr>
        <w:tab/>
      </w:r>
      <w:r w:rsidRPr="006A5CF6">
        <w:rPr>
          <w:rFonts w:ascii="Calibri" w:hAnsi="Calibri" w:cs="Calibri"/>
        </w:rPr>
        <w:t>Based in South Dublin County Partnership office, County Hall, Tallaght, Dublin 24</w:t>
      </w:r>
    </w:p>
    <w:p w14:paraId="119B3430" w14:textId="77777777" w:rsidR="006A5CF6" w:rsidRDefault="006A5CF6" w:rsidP="006A5CF6">
      <w:pPr>
        <w:spacing w:after="0" w:line="240" w:lineRule="auto"/>
        <w:rPr>
          <w:rFonts w:ascii="Calibri" w:hAnsi="Calibri" w:cs="Calibri"/>
          <w:b/>
          <w:bCs/>
          <w:lang w:val="en-US"/>
        </w:rPr>
      </w:pPr>
    </w:p>
    <w:p w14:paraId="2BC01DCF" w14:textId="169B049B" w:rsidR="00C34908" w:rsidRPr="00EC7F69" w:rsidRDefault="006A5CF6" w:rsidP="006A5CF6">
      <w:pPr>
        <w:spacing w:after="0" w:line="240" w:lineRule="auto"/>
        <w:rPr>
          <w:rFonts w:ascii="Calibri" w:hAnsi="Calibri" w:cs="Calibri"/>
          <w:b/>
          <w:bCs/>
          <w:lang w:val="en-US"/>
        </w:rPr>
      </w:pPr>
      <w:r>
        <w:rPr>
          <w:rFonts w:ascii="Calibri" w:hAnsi="Calibri" w:cs="Calibri"/>
          <w:b/>
          <w:bCs/>
          <w:lang w:val="en-US"/>
        </w:rPr>
        <w:t>Reporting to:</w:t>
      </w:r>
      <w:r w:rsidR="00377FEB">
        <w:rPr>
          <w:rFonts w:ascii="Calibri" w:hAnsi="Calibri" w:cs="Calibri"/>
          <w:b/>
          <w:bCs/>
          <w:lang w:val="en-US"/>
        </w:rPr>
        <w:tab/>
      </w:r>
      <w:r w:rsidRPr="006A5CF6">
        <w:rPr>
          <w:rFonts w:ascii="Calibri" w:hAnsi="Calibri" w:cs="Calibri"/>
          <w:lang w:val="en-US"/>
        </w:rPr>
        <w:t>CEO of SDCP and Board of TDATF</w:t>
      </w:r>
    </w:p>
    <w:p w14:paraId="0A020A4E" w14:textId="77777777" w:rsidR="00C34908" w:rsidRPr="00EC7F69" w:rsidRDefault="00C34908" w:rsidP="006A5CF6">
      <w:pPr>
        <w:spacing w:after="0" w:line="240" w:lineRule="auto"/>
        <w:rPr>
          <w:rFonts w:ascii="Calibri" w:hAnsi="Calibri" w:cs="Calibri"/>
          <w:b/>
          <w:bCs/>
        </w:rPr>
      </w:pPr>
    </w:p>
    <w:p w14:paraId="0B520537" w14:textId="77777777" w:rsidR="00C34908" w:rsidRPr="00EC7F69" w:rsidRDefault="00C34908" w:rsidP="006A5CF6">
      <w:pPr>
        <w:spacing w:after="0" w:line="240" w:lineRule="auto"/>
        <w:rPr>
          <w:rFonts w:ascii="Calibri" w:hAnsi="Calibri" w:cs="Calibri"/>
          <w:b/>
          <w:bCs/>
        </w:rPr>
      </w:pPr>
      <w:r w:rsidRPr="00EC7F69">
        <w:rPr>
          <w:rFonts w:ascii="Calibri" w:hAnsi="Calibri" w:cs="Calibri"/>
          <w:b/>
          <w:bCs/>
        </w:rPr>
        <w:t>Overall purpose of the role:</w:t>
      </w:r>
    </w:p>
    <w:p w14:paraId="649ECF44" w14:textId="5E3C325F" w:rsidR="00C34908" w:rsidRPr="00EC7F69" w:rsidRDefault="00C34908" w:rsidP="006A5CF6">
      <w:pPr>
        <w:spacing w:after="0" w:line="240" w:lineRule="auto"/>
        <w:rPr>
          <w:rFonts w:ascii="Calibri" w:hAnsi="Calibri" w:cs="Calibri"/>
        </w:rPr>
      </w:pPr>
      <w:bookmarkStart w:id="0" w:name="_Hlk179378453"/>
      <w:r w:rsidRPr="00EC7F69">
        <w:rPr>
          <w:rFonts w:ascii="Calibri" w:hAnsi="Calibri" w:cs="Calibri"/>
        </w:rPr>
        <w:t xml:space="preserve">This </w:t>
      </w:r>
      <w:r>
        <w:rPr>
          <w:rFonts w:ascii="Calibri" w:hAnsi="Calibri" w:cs="Calibri"/>
        </w:rPr>
        <w:t>post has</w:t>
      </w:r>
      <w:r w:rsidRPr="00EC7F69">
        <w:rPr>
          <w:rFonts w:ascii="Calibri" w:hAnsi="Calibri" w:cs="Calibri"/>
        </w:rPr>
        <w:t xml:space="preserve"> responsibility to oversee the </w:t>
      </w:r>
      <w:r>
        <w:rPr>
          <w:rFonts w:ascii="Calibri" w:hAnsi="Calibri" w:cs="Calibri"/>
        </w:rPr>
        <w:t xml:space="preserve">strategic development and </w:t>
      </w:r>
      <w:r w:rsidRPr="00EC7F69">
        <w:rPr>
          <w:rFonts w:ascii="Calibri" w:hAnsi="Calibri" w:cs="Calibri"/>
        </w:rPr>
        <w:t>effective running o</w:t>
      </w:r>
      <w:r>
        <w:rPr>
          <w:rFonts w:ascii="Calibri" w:hAnsi="Calibri" w:cs="Calibri"/>
        </w:rPr>
        <w:t xml:space="preserve">f </w:t>
      </w:r>
      <w:r>
        <w:rPr>
          <w:rFonts w:ascii="Calibri" w:hAnsi="Calibri" w:cs="Calibri"/>
          <w:b/>
          <w:bCs/>
        </w:rPr>
        <w:t>Tallaght Drugs and Alcohol Task Force</w:t>
      </w:r>
      <w:r>
        <w:rPr>
          <w:rFonts w:ascii="Calibri" w:hAnsi="Calibri" w:cs="Calibri"/>
        </w:rPr>
        <w:t xml:space="preserve">. </w:t>
      </w:r>
    </w:p>
    <w:bookmarkEnd w:id="0"/>
    <w:p w14:paraId="3B825E10" w14:textId="77777777" w:rsidR="00C34908" w:rsidRPr="00EC7F69" w:rsidRDefault="00C34908" w:rsidP="00C34908">
      <w:pPr>
        <w:spacing w:after="0" w:line="240" w:lineRule="auto"/>
        <w:rPr>
          <w:rFonts w:ascii="Calibri" w:hAnsi="Calibri" w:cs="Calibri"/>
        </w:rPr>
      </w:pPr>
    </w:p>
    <w:p w14:paraId="4B9B028F" w14:textId="466545F8" w:rsidR="00C34908" w:rsidRPr="00C34908" w:rsidRDefault="00C34908" w:rsidP="00C34908">
      <w:pPr>
        <w:spacing w:after="0" w:line="240" w:lineRule="auto"/>
        <w:rPr>
          <w:rFonts w:ascii="Calibri" w:hAnsi="Calibri" w:cs="Calibri"/>
          <w:b/>
          <w:bCs/>
        </w:rPr>
      </w:pPr>
      <w:r w:rsidRPr="00EC7F69">
        <w:rPr>
          <w:rFonts w:ascii="Calibri" w:hAnsi="Calibri" w:cs="Calibri"/>
          <w:b/>
          <w:bCs/>
        </w:rPr>
        <w:t>About the role</w:t>
      </w:r>
    </w:p>
    <w:p w14:paraId="09F74C92" w14:textId="77BA1BC5" w:rsidR="00C34908" w:rsidRDefault="00C34908" w:rsidP="00E332DA">
      <w:pPr>
        <w:pStyle w:val="NoSpacing"/>
        <w:jc w:val="both"/>
        <w:rPr>
          <w:rFonts w:ascii="Calibri" w:hAnsi="Calibri" w:cs="Calibri"/>
          <w:lang w:val="en-IE"/>
        </w:rPr>
      </w:pPr>
      <w:r w:rsidRPr="001D4D72">
        <w:rPr>
          <w:rFonts w:ascii="Calibri" w:hAnsi="Calibri" w:cs="Calibri"/>
          <w:lang w:val="en-IE"/>
        </w:rPr>
        <w:t xml:space="preserve">The </w:t>
      </w:r>
      <w:r>
        <w:rPr>
          <w:rFonts w:ascii="Calibri" w:hAnsi="Calibri" w:cs="Calibri"/>
          <w:lang w:val="en-IE"/>
        </w:rPr>
        <w:t>Coordinator role within TDAT</w:t>
      </w:r>
      <w:r w:rsidR="00142AA6">
        <w:rPr>
          <w:rFonts w:ascii="Calibri" w:hAnsi="Calibri" w:cs="Calibri"/>
          <w:lang w:val="en-IE"/>
        </w:rPr>
        <w:t>F</w:t>
      </w:r>
      <w:r>
        <w:rPr>
          <w:rFonts w:ascii="Calibri" w:hAnsi="Calibri" w:cs="Calibri"/>
          <w:lang w:val="en-IE"/>
        </w:rPr>
        <w:t xml:space="preserve"> and, in conjunction with the TDATF members and chairperson, is responsible for the development and implementation of the TDATF strategy. The post oversees a </w:t>
      </w:r>
      <w:r w:rsidRPr="001D4D72">
        <w:rPr>
          <w:rFonts w:ascii="Calibri" w:hAnsi="Calibri" w:cs="Calibri"/>
          <w:lang w:val="en-IE"/>
        </w:rPr>
        <w:t>multi-disciplinary team</w:t>
      </w:r>
      <w:r>
        <w:rPr>
          <w:rFonts w:ascii="Calibri" w:hAnsi="Calibri" w:cs="Calibri"/>
          <w:lang w:val="en-IE"/>
        </w:rPr>
        <w:t>, including the Connect4 youth project,</w:t>
      </w:r>
      <w:r w:rsidRPr="001D4D72">
        <w:rPr>
          <w:rFonts w:ascii="Calibri" w:hAnsi="Calibri" w:cs="Calibri"/>
          <w:lang w:val="en-IE"/>
        </w:rPr>
        <w:t xml:space="preserve"> whose skills and knowledge ensure that </w:t>
      </w:r>
      <w:r>
        <w:rPr>
          <w:rFonts w:ascii="Calibri" w:hAnsi="Calibri" w:cs="Calibri"/>
          <w:lang w:val="en-IE"/>
        </w:rPr>
        <w:t>SDCP</w:t>
      </w:r>
      <w:r w:rsidRPr="001D4D72">
        <w:rPr>
          <w:rFonts w:ascii="Calibri" w:hAnsi="Calibri" w:cs="Calibri"/>
          <w:lang w:val="en-IE"/>
        </w:rPr>
        <w:t xml:space="preserve"> are </w:t>
      </w:r>
      <w:r>
        <w:rPr>
          <w:rFonts w:ascii="Calibri" w:hAnsi="Calibri" w:cs="Calibri"/>
          <w:lang w:val="en-IE"/>
        </w:rPr>
        <w:t xml:space="preserve">responding to drug and alcohol issues in the Tallaght and Whitechurch areas, working in partnership with all those concerned to reduce the harm caused by substance misuses and the impacts on the individual user, their families and communities. </w:t>
      </w:r>
      <w:r w:rsidR="003607FF">
        <w:rPr>
          <w:rFonts w:ascii="Calibri" w:hAnsi="Calibri" w:cs="Calibri"/>
          <w:lang w:val="en-IE"/>
        </w:rPr>
        <w:t>The TDATF Coordinator reports to an advisory Board and Executive, and is responsible for the coordination of the various TDAT</w:t>
      </w:r>
      <w:r w:rsidR="00142AA6">
        <w:rPr>
          <w:rFonts w:ascii="Calibri" w:hAnsi="Calibri" w:cs="Calibri"/>
          <w:lang w:val="en-IE"/>
        </w:rPr>
        <w:t>F</w:t>
      </w:r>
      <w:r w:rsidR="003607FF">
        <w:rPr>
          <w:rFonts w:ascii="Calibri" w:hAnsi="Calibri" w:cs="Calibri"/>
          <w:lang w:val="en-IE"/>
        </w:rPr>
        <w:t xml:space="preserve"> committees. </w:t>
      </w:r>
    </w:p>
    <w:p w14:paraId="12435499" w14:textId="77777777" w:rsidR="00C34908" w:rsidRDefault="00C34908" w:rsidP="00E332DA">
      <w:pPr>
        <w:pStyle w:val="NoSpacing"/>
        <w:jc w:val="both"/>
        <w:rPr>
          <w:rFonts w:ascii="Calibri" w:hAnsi="Calibri" w:cs="Calibri"/>
          <w:lang w:val="en-IE"/>
        </w:rPr>
      </w:pPr>
    </w:p>
    <w:p w14:paraId="41362E97" w14:textId="4D80D977" w:rsidR="00C34908" w:rsidRDefault="00C34908" w:rsidP="00E332DA">
      <w:pPr>
        <w:pStyle w:val="NoSpacing"/>
        <w:jc w:val="both"/>
        <w:rPr>
          <w:rFonts w:ascii="Calibri" w:hAnsi="Calibri" w:cs="Calibri"/>
          <w:lang w:val="en-IE"/>
        </w:rPr>
      </w:pPr>
      <w:r>
        <w:rPr>
          <w:rFonts w:ascii="Calibri" w:hAnsi="Calibri" w:cs="Calibri"/>
          <w:lang w:val="en-IE"/>
        </w:rPr>
        <w:t>The Tallaght Drugs and Alcohol Task Force is unique in that all staff are employees of South Dublin County Partnership. South Dublin County Partnership</w:t>
      </w:r>
      <w:r w:rsidR="003607FF">
        <w:rPr>
          <w:rFonts w:ascii="Calibri" w:hAnsi="Calibri" w:cs="Calibri"/>
          <w:lang w:val="en-IE"/>
        </w:rPr>
        <w:t xml:space="preserve"> (SDCP)</w:t>
      </w:r>
      <w:r>
        <w:rPr>
          <w:rFonts w:ascii="Calibri" w:hAnsi="Calibri" w:cs="Calibri"/>
          <w:lang w:val="en-IE"/>
        </w:rPr>
        <w:t xml:space="preserve"> are responsible for </w:t>
      </w:r>
      <w:r w:rsidR="003607FF">
        <w:rPr>
          <w:rFonts w:ascii="Calibri" w:hAnsi="Calibri" w:cs="Calibri"/>
          <w:lang w:val="en-IE"/>
        </w:rPr>
        <w:t>areas such as</w:t>
      </w:r>
      <w:r>
        <w:rPr>
          <w:rFonts w:ascii="Calibri" w:hAnsi="Calibri" w:cs="Calibri"/>
          <w:lang w:val="en-IE"/>
        </w:rPr>
        <w:t xml:space="preserve"> Governance, Finance and HR </w:t>
      </w:r>
      <w:r w:rsidR="003607FF">
        <w:rPr>
          <w:rFonts w:ascii="Calibri" w:hAnsi="Calibri" w:cs="Calibri"/>
          <w:lang w:val="en-IE"/>
        </w:rPr>
        <w:t>and the Coordinator works with the SDCP CEO and SDCP Senior Management Team</w:t>
      </w:r>
      <w:r>
        <w:rPr>
          <w:rFonts w:ascii="Calibri" w:hAnsi="Calibri" w:cs="Calibri"/>
          <w:lang w:val="en-IE"/>
        </w:rPr>
        <w:t xml:space="preserve">. </w:t>
      </w:r>
    </w:p>
    <w:p w14:paraId="0ED75CB8" w14:textId="77777777" w:rsidR="00C34908" w:rsidRDefault="00C34908" w:rsidP="00C34908">
      <w:pPr>
        <w:pStyle w:val="NoSpacing"/>
        <w:rPr>
          <w:rFonts w:ascii="Calibri" w:hAnsi="Calibri" w:cs="Calibri"/>
          <w:lang w:val="en-IE"/>
        </w:rPr>
      </w:pPr>
    </w:p>
    <w:p w14:paraId="3D41640A" w14:textId="1FFE25F3" w:rsidR="00C34908" w:rsidRDefault="00C34908" w:rsidP="00C34908">
      <w:pPr>
        <w:pStyle w:val="NoSpacing"/>
        <w:rPr>
          <w:rFonts w:ascii="Calibri" w:hAnsi="Calibri" w:cs="Calibri"/>
          <w:lang w:val="en-IE"/>
        </w:rPr>
      </w:pPr>
      <w:r>
        <w:rPr>
          <w:rFonts w:ascii="Calibri" w:hAnsi="Calibri" w:cs="Calibri"/>
          <w:lang w:val="en-IE"/>
        </w:rPr>
        <w:t xml:space="preserve">You can find more about Tallaght Drugs and Alcohol Task Force </w:t>
      </w:r>
      <w:hyperlink r:id="rId11" w:history="1">
        <w:r w:rsidRPr="00C34908">
          <w:rPr>
            <w:rStyle w:val="Hyperlink"/>
            <w:rFonts w:ascii="Calibri" w:hAnsi="Calibri" w:cs="Calibri"/>
            <w:lang w:val="en-IE"/>
          </w:rPr>
          <w:t>here</w:t>
        </w:r>
      </w:hyperlink>
    </w:p>
    <w:p w14:paraId="0A60F9C5" w14:textId="77777777" w:rsidR="00C34908" w:rsidRPr="00EC7F69" w:rsidRDefault="00C34908" w:rsidP="00C34908">
      <w:pPr>
        <w:pStyle w:val="NoSpacing"/>
        <w:rPr>
          <w:rFonts w:ascii="Calibri" w:hAnsi="Calibri" w:cs="Calibri"/>
          <w:b/>
          <w:bCs/>
          <w:color w:val="000000"/>
          <w:lang w:val="en-GB"/>
        </w:rPr>
      </w:pPr>
    </w:p>
    <w:p w14:paraId="455AAEB7" w14:textId="77777777" w:rsidR="00C34908" w:rsidRPr="00EC7F69" w:rsidRDefault="00C34908" w:rsidP="00C34908">
      <w:pPr>
        <w:pStyle w:val="NoSpacing"/>
        <w:rPr>
          <w:rFonts w:ascii="Calibri" w:hAnsi="Calibri" w:cs="Calibri"/>
          <w:b/>
          <w:bCs/>
          <w:color w:val="000000"/>
          <w:lang w:val="en-GB"/>
        </w:rPr>
      </w:pPr>
      <w:r w:rsidRPr="00EC7F69">
        <w:rPr>
          <w:rFonts w:ascii="Calibri" w:hAnsi="Calibri" w:cs="Calibri"/>
          <w:b/>
          <w:bCs/>
          <w:color w:val="000000"/>
          <w:lang w:val="en-GB"/>
        </w:rPr>
        <w:t xml:space="preserve">Key Responsibilities: </w:t>
      </w:r>
    </w:p>
    <w:p w14:paraId="0039B5AE" w14:textId="77777777" w:rsidR="00C34908" w:rsidRDefault="00C34908" w:rsidP="00C34908">
      <w:pPr>
        <w:spacing w:after="0" w:line="240" w:lineRule="auto"/>
        <w:rPr>
          <w:rFonts w:ascii="Calibri" w:hAnsi="Calibri" w:cs="Calibri"/>
          <w:b/>
          <w:bCs/>
          <w:lang w:val="en-US"/>
        </w:rPr>
      </w:pPr>
    </w:p>
    <w:p w14:paraId="3E5C7752" w14:textId="3EA94E9D" w:rsidR="00C34908" w:rsidRPr="0095719E" w:rsidRDefault="00C34908" w:rsidP="00C34908">
      <w:pPr>
        <w:spacing w:after="0" w:line="240" w:lineRule="auto"/>
        <w:rPr>
          <w:rFonts w:ascii="Calibri" w:hAnsi="Calibri" w:cs="Calibri"/>
          <w:b/>
          <w:bCs/>
          <w:lang w:val="en-US"/>
        </w:rPr>
      </w:pPr>
      <w:r w:rsidRPr="0095719E">
        <w:rPr>
          <w:rFonts w:ascii="Calibri" w:hAnsi="Calibri" w:cs="Calibri"/>
          <w:b/>
          <w:bCs/>
          <w:lang w:val="en-US"/>
        </w:rPr>
        <w:t>TDATF Responsibilities</w:t>
      </w:r>
    </w:p>
    <w:p w14:paraId="7C5A6CB6" w14:textId="77777777" w:rsidR="00C34908" w:rsidRPr="0095719E" w:rsidRDefault="00C34908" w:rsidP="00C34908">
      <w:pPr>
        <w:numPr>
          <w:ilvl w:val="0"/>
          <w:numId w:val="8"/>
        </w:numPr>
        <w:spacing w:after="0" w:line="240" w:lineRule="auto"/>
        <w:rPr>
          <w:rFonts w:ascii="Calibri" w:hAnsi="Calibri" w:cs="Calibri"/>
          <w:lang w:val="en-US"/>
        </w:rPr>
      </w:pPr>
      <w:r w:rsidRPr="0095719E">
        <w:rPr>
          <w:rFonts w:ascii="Calibri" w:hAnsi="Calibri" w:cs="Calibri"/>
          <w:lang w:val="en-US"/>
        </w:rPr>
        <w:t>To adopt and promote a community development approach in tackling the causes and consequences of drug and alcohol misuse, and to advocate alongside, and on behalf of, local communities.</w:t>
      </w:r>
    </w:p>
    <w:p w14:paraId="34097FD9" w14:textId="39D1ECCB" w:rsidR="00C34908" w:rsidRPr="0095719E" w:rsidRDefault="00C34908" w:rsidP="00C34908">
      <w:pPr>
        <w:numPr>
          <w:ilvl w:val="0"/>
          <w:numId w:val="8"/>
        </w:numPr>
        <w:spacing w:after="0" w:line="240" w:lineRule="auto"/>
        <w:rPr>
          <w:rFonts w:ascii="Calibri" w:hAnsi="Calibri" w:cs="Calibri"/>
          <w:lang w:val="en-US"/>
        </w:rPr>
      </w:pPr>
      <w:r w:rsidRPr="0095719E">
        <w:rPr>
          <w:rFonts w:ascii="Calibri" w:hAnsi="Calibri" w:cs="Calibri"/>
          <w:lang w:val="en-US"/>
        </w:rPr>
        <w:t>To work with key stakeholders to develop and implement a three-year strategic plan with agreed outcome indicators in line with the National Drugs and Alcohol Strategy</w:t>
      </w:r>
      <w:r w:rsidR="00142AA6">
        <w:rPr>
          <w:rFonts w:ascii="Calibri" w:hAnsi="Calibri" w:cs="Calibri"/>
          <w:lang w:val="en-US"/>
        </w:rPr>
        <w:t xml:space="preserve">. </w:t>
      </w:r>
      <w:r w:rsidRPr="0095719E">
        <w:rPr>
          <w:rFonts w:ascii="Calibri" w:hAnsi="Calibri" w:cs="Calibri"/>
          <w:lang w:val="en-US"/>
        </w:rPr>
        <w:t>.</w:t>
      </w:r>
    </w:p>
    <w:p w14:paraId="6B7A79E0" w14:textId="77777777" w:rsidR="00C34908" w:rsidRDefault="00C34908" w:rsidP="00C34908">
      <w:pPr>
        <w:numPr>
          <w:ilvl w:val="0"/>
          <w:numId w:val="8"/>
        </w:numPr>
        <w:spacing w:after="0" w:line="240" w:lineRule="auto"/>
        <w:rPr>
          <w:rFonts w:ascii="Calibri" w:hAnsi="Calibri" w:cs="Calibri"/>
          <w:lang w:val="en-US"/>
        </w:rPr>
      </w:pPr>
      <w:r w:rsidRPr="0095719E">
        <w:rPr>
          <w:rFonts w:ascii="Calibri" w:hAnsi="Calibri" w:cs="Calibri"/>
          <w:lang w:val="en-US"/>
        </w:rPr>
        <w:t>To facilitate multi-sectoral collaboration and interagency working at local and national level.</w:t>
      </w:r>
    </w:p>
    <w:p w14:paraId="796F0326" w14:textId="38134ACE" w:rsidR="00142AA6" w:rsidRPr="0095719E" w:rsidRDefault="00142AA6" w:rsidP="00C34908">
      <w:pPr>
        <w:numPr>
          <w:ilvl w:val="0"/>
          <w:numId w:val="8"/>
        </w:numPr>
        <w:spacing w:after="0" w:line="240" w:lineRule="auto"/>
        <w:rPr>
          <w:rFonts w:ascii="Calibri" w:hAnsi="Calibri" w:cs="Calibri"/>
          <w:lang w:val="en-US"/>
        </w:rPr>
      </w:pPr>
      <w:r>
        <w:rPr>
          <w:rFonts w:ascii="Calibri" w:hAnsi="Calibri" w:cs="Calibri"/>
          <w:lang w:val="en-US"/>
        </w:rPr>
        <w:t xml:space="preserve">To work with and provide support to the projects operating in the TDATF geographic area. </w:t>
      </w:r>
    </w:p>
    <w:p w14:paraId="54A2829B" w14:textId="77777777" w:rsidR="00C34908" w:rsidRPr="0095719E" w:rsidRDefault="00C34908" w:rsidP="00C34908">
      <w:pPr>
        <w:numPr>
          <w:ilvl w:val="0"/>
          <w:numId w:val="8"/>
        </w:numPr>
        <w:spacing w:after="0" w:line="240" w:lineRule="auto"/>
        <w:rPr>
          <w:rFonts w:ascii="Calibri" w:hAnsi="Calibri" w:cs="Calibri"/>
          <w:lang w:val="en-US"/>
        </w:rPr>
      </w:pPr>
      <w:r w:rsidRPr="0095719E">
        <w:rPr>
          <w:rFonts w:ascii="Calibri" w:hAnsi="Calibri" w:cs="Calibri"/>
          <w:lang w:val="en-US"/>
        </w:rPr>
        <w:t>To build capacity, support and facilitate the development of a strong community-based response to drug and alcohol misuse in partnership with key stakeholders.</w:t>
      </w:r>
    </w:p>
    <w:p w14:paraId="79795470" w14:textId="77777777" w:rsidR="00C34908" w:rsidRPr="0095719E" w:rsidRDefault="00C34908" w:rsidP="00C34908">
      <w:pPr>
        <w:numPr>
          <w:ilvl w:val="0"/>
          <w:numId w:val="8"/>
        </w:numPr>
        <w:spacing w:after="0" w:line="240" w:lineRule="auto"/>
        <w:rPr>
          <w:rFonts w:ascii="Calibri" w:hAnsi="Calibri" w:cs="Calibri"/>
          <w:lang w:val="en-US"/>
        </w:rPr>
      </w:pPr>
      <w:r w:rsidRPr="0095719E">
        <w:rPr>
          <w:rFonts w:ascii="Calibri" w:hAnsi="Calibri" w:cs="Calibri"/>
          <w:lang w:val="en-US"/>
        </w:rPr>
        <w:t>To represent the TDATF at relevant local, regional, and national fora, including the national network of Local and Regional Drug and Alcohol Task Force Coordinators.</w:t>
      </w:r>
    </w:p>
    <w:p w14:paraId="42ED8C81" w14:textId="77777777" w:rsidR="00C34908" w:rsidRPr="00EC7F69" w:rsidRDefault="00C34908" w:rsidP="00C34908">
      <w:pPr>
        <w:spacing w:after="0" w:line="240" w:lineRule="auto"/>
        <w:rPr>
          <w:rFonts w:ascii="Calibri" w:hAnsi="Calibri" w:cs="Calibri"/>
          <w:b/>
          <w:bCs/>
        </w:rPr>
      </w:pPr>
    </w:p>
    <w:p w14:paraId="2E340B87"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Strategic Planning &amp; Execution</w:t>
      </w:r>
    </w:p>
    <w:p w14:paraId="1DAB0BA4" w14:textId="46DD24C3" w:rsidR="00C34908" w:rsidRPr="00EC7F69" w:rsidRDefault="00C34908" w:rsidP="00C34908">
      <w:pPr>
        <w:numPr>
          <w:ilvl w:val="0"/>
          <w:numId w:val="1"/>
        </w:numPr>
        <w:spacing w:after="0" w:line="240" w:lineRule="auto"/>
        <w:rPr>
          <w:rFonts w:ascii="Calibri" w:hAnsi="Calibri" w:cs="Calibri"/>
        </w:rPr>
      </w:pPr>
      <w:r w:rsidRPr="00EC7F69">
        <w:rPr>
          <w:rFonts w:ascii="Calibri" w:hAnsi="Calibri" w:cs="Calibri"/>
        </w:rPr>
        <w:t xml:space="preserve">Collaborate with </w:t>
      </w:r>
      <w:r w:rsidR="003607FF" w:rsidRPr="003607FF">
        <w:rPr>
          <w:rFonts w:ascii="Calibri" w:hAnsi="Calibri" w:cs="Calibri"/>
        </w:rPr>
        <w:t xml:space="preserve">TDATF members and chairperson </w:t>
      </w:r>
      <w:r w:rsidRPr="00EC7F69">
        <w:rPr>
          <w:rFonts w:ascii="Calibri" w:hAnsi="Calibri" w:cs="Calibri"/>
        </w:rPr>
        <w:t>to translate the organization's strategic vision into actionable plans.</w:t>
      </w:r>
    </w:p>
    <w:p w14:paraId="45EA6500" w14:textId="77777777" w:rsidR="00C34908" w:rsidRPr="00EC7F69" w:rsidRDefault="00C34908" w:rsidP="00C34908">
      <w:pPr>
        <w:numPr>
          <w:ilvl w:val="0"/>
          <w:numId w:val="1"/>
        </w:numPr>
        <w:spacing w:after="0" w:line="240" w:lineRule="auto"/>
        <w:rPr>
          <w:rFonts w:ascii="Calibri" w:hAnsi="Calibri" w:cs="Calibri"/>
        </w:rPr>
      </w:pPr>
      <w:r>
        <w:rPr>
          <w:rFonts w:ascii="Calibri" w:hAnsi="Calibri" w:cs="Calibri"/>
        </w:rPr>
        <w:lastRenderedPageBreak/>
        <w:t>Develop</w:t>
      </w:r>
      <w:r w:rsidRPr="00EC7F69">
        <w:rPr>
          <w:rFonts w:ascii="Calibri" w:hAnsi="Calibri" w:cs="Calibri"/>
        </w:rPr>
        <w:t xml:space="preserve"> annual operational plans that align with strategic goals and funder requirements ensuring that objectives are clear, measurable, and achievable.</w:t>
      </w:r>
    </w:p>
    <w:p w14:paraId="4C318359" w14:textId="77777777" w:rsidR="00C34908" w:rsidRDefault="00C34908" w:rsidP="00C34908">
      <w:pPr>
        <w:pStyle w:val="ListParagraph"/>
        <w:numPr>
          <w:ilvl w:val="0"/>
          <w:numId w:val="1"/>
        </w:numPr>
        <w:spacing w:after="0" w:line="240" w:lineRule="auto"/>
        <w:rPr>
          <w:rFonts w:ascii="Calibri" w:hAnsi="Calibri" w:cs="Calibri"/>
        </w:rPr>
      </w:pPr>
      <w:r w:rsidRPr="00EC7F69">
        <w:rPr>
          <w:rFonts w:ascii="Calibri" w:hAnsi="Calibri" w:cs="Calibri"/>
        </w:rPr>
        <w:t>Monitor and track progress towards strategic objectives through KPIs and performance metrics.</w:t>
      </w:r>
    </w:p>
    <w:p w14:paraId="0651F585" w14:textId="77777777" w:rsidR="00D45D4B" w:rsidRPr="00D45D4B" w:rsidRDefault="00D45D4B" w:rsidP="00D45D4B">
      <w:pPr>
        <w:pStyle w:val="ListParagraph"/>
        <w:spacing w:after="0" w:line="240" w:lineRule="auto"/>
        <w:rPr>
          <w:rFonts w:ascii="Calibri" w:hAnsi="Calibri" w:cs="Calibri"/>
          <w:sz w:val="12"/>
          <w:szCs w:val="12"/>
        </w:rPr>
      </w:pPr>
    </w:p>
    <w:p w14:paraId="7222ED9D"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Team Leadership &amp; Development</w:t>
      </w:r>
    </w:p>
    <w:p w14:paraId="41029586" w14:textId="77777777" w:rsidR="00C34908" w:rsidRPr="00EC7F69" w:rsidRDefault="00C34908" w:rsidP="00C34908">
      <w:pPr>
        <w:pStyle w:val="ListParagraph"/>
        <w:numPr>
          <w:ilvl w:val="0"/>
          <w:numId w:val="2"/>
        </w:numPr>
        <w:spacing w:after="0" w:line="240" w:lineRule="auto"/>
        <w:rPr>
          <w:rFonts w:ascii="Calibri" w:hAnsi="Calibri" w:cs="Calibri"/>
        </w:rPr>
      </w:pPr>
      <w:r w:rsidRPr="00EC7F69">
        <w:rPr>
          <w:rFonts w:ascii="Calibri" w:hAnsi="Calibri" w:cs="Calibri"/>
        </w:rPr>
        <w:t>Foster employee growth through mentorship, feedback, development opportunities, and support</w:t>
      </w:r>
      <w:r>
        <w:rPr>
          <w:rFonts w:ascii="Calibri" w:hAnsi="Calibri" w:cs="Calibri"/>
        </w:rPr>
        <w:t xml:space="preserve"> of</w:t>
      </w:r>
      <w:r w:rsidRPr="00EC7F69">
        <w:rPr>
          <w:rFonts w:ascii="Calibri" w:hAnsi="Calibri" w:cs="Calibri"/>
        </w:rPr>
        <w:t xml:space="preserve"> career advancement.</w:t>
      </w:r>
    </w:p>
    <w:p w14:paraId="1B2F0854" w14:textId="77777777" w:rsidR="00C34908" w:rsidRPr="00EC7F69" w:rsidRDefault="00C34908" w:rsidP="00C34908">
      <w:pPr>
        <w:pStyle w:val="ListParagraph"/>
        <w:numPr>
          <w:ilvl w:val="0"/>
          <w:numId w:val="2"/>
        </w:numPr>
        <w:spacing w:after="0" w:line="240" w:lineRule="auto"/>
        <w:rPr>
          <w:rFonts w:ascii="Calibri" w:hAnsi="Calibri" w:cs="Calibri"/>
        </w:rPr>
      </w:pPr>
      <w:r w:rsidRPr="00EC7F69">
        <w:rPr>
          <w:rFonts w:ascii="Calibri" w:hAnsi="Calibri" w:cs="Calibri"/>
        </w:rPr>
        <w:t>Regular review</w:t>
      </w:r>
      <w:r>
        <w:rPr>
          <w:rFonts w:ascii="Calibri" w:hAnsi="Calibri" w:cs="Calibri"/>
        </w:rPr>
        <w:t xml:space="preserve"> of</w:t>
      </w:r>
      <w:r w:rsidRPr="00EC7F69">
        <w:rPr>
          <w:rFonts w:ascii="Calibri" w:hAnsi="Calibri" w:cs="Calibri"/>
        </w:rPr>
        <w:t xml:space="preserve"> team performance, ensuring corrective actions are taken to keep initiatives on track.</w:t>
      </w:r>
    </w:p>
    <w:p w14:paraId="765F3F67" w14:textId="77777777" w:rsidR="00C34908" w:rsidRPr="00EC7F69" w:rsidRDefault="00C34908" w:rsidP="00C34908">
      <w:pPr>
        <w:pStyle w:val="ListParagraph"/>
        <w:numPr>
          <w:ilvl w:val="0"/>
          <w:numId w:val="2"/>
        </w:numPr>
        <w:spacing w:after="0" w:line="240" w:lineRule="auto"/>
        <w:rPr>
          <w:rFonts w:ascii="Calibri" w:hAnsi="Calibri" w:cs="Calibri"/>
        </w:rPr>
      </w:pPr>
      <w:r w:rsidRPr="00EC7F69">
        <w:rPr>
          <w:rFonts w:ascii="Calibri" w:hAnsi="Calibri" w:cs="Calibri"/>
        </w:rPr>
        <w:t>Effective assign</w:t>
      </w:r>
      <w:r>
        <w:rPr>
          <w:rFonts w:ascii="Calibri" w:hAnsi="Calibri" w:cs="Calibri"/>
        </w:rPr>
        <w:t>ment of</w:t>
      </w:r>
      <w:r w:rsidRPr="00EC7F69">
        <w:rPr>
          <w:rFonts w:ascii="Calibri" w:hAnsi="Calibri" w:cs="Calibri"/>
        </w:rPr>
        <w:t xml:space="preserve"> tasks and responsibilities </w:t>
      </w:r>
      <w:r>
        <w:rPr>
          <w:rFonts w:ascii="Calibri" w:hAnsi="Calibri" w:cs="Calibri"/>
        </w:rPr>
        <w:t>through</w:t>
      </w:r>
      <w:r w:rsidRPr="00EC7F69">
        <w:rPr>
          <w:rFonts w:ascii="Calibri" w:hAnsi="Calibri" w:cs="Calibri"/>
        </w:rPr>
        <w:t xml:space="preserve"> trusting and empowering staff to take ownership of their roles.</w:t>
      </w:r>
    </w:p>
    <w:p w14:paraId="3F1037CC" w14:textId="77777777" w:rsidR="00C34908" w:rsidRPr="00EC7F69" w:rsidRDefault="00C34908" w:rsidP="00C34908">
      <w:pPr>
        <w:pStyle w:val="ListParagraph"/>
        <w:numPr>
          <w:ilvl w:val="0"/>
          <w:numId w:val="2"/>
        </w:numPr>
        <w:spacing w:after="0" w:line="240" w:lineRule="auto"/>
        <w:rPr>
          <w:rFonts w:ascii="Calibri" w:hAnsi="Calibri" w:cs="Calibri"/>
        </w:rPr>
      </w:pPr>
      <w:r w:rsidRPr="00EC7F69">
        <w:rPr>
          <w:rFonts w:ascii="Calibri" w:hAnsi="Calibri" w:cs="Calibri"/>
        </w:rPr>
        <w:t>Align staff efforts with the broader organisational strategy, set long-term goals, and ensur</w:t>
      </w:r>
      <w:r>
        <w:rPr>
          <w:rFonts w:ascii="Calibri" w:hAnsi="Calibri" w:cs="Calibri"/>
        </w:rPr>
        <w:t>e</w:t>
      </w:r>
      <w:r w:rsidRPr="00EC7F69">
        <w:rPr>
          <w:rFonts w:ascii="Calibri" w:hAnsi="Calibri" w:cs="Calibri"/>
        </w:rPr>
        <w:t xml:space="preserve"> that staff work contributes to achieving them.</w:t>
      </w:r>
    </w:p>
    <w:p w14:paraId="6FD099B9" w14:textId="77777777" w:rsidR="00C34908" w:rsidRDefault="00C34908" w:rsidP="00C34908">
      <w:pPr>
        <w:spacing w:after="0" w:line="240" w:lineRule="auto"/>
        <w:rPr>
          <w:rFonts w:ascii="Calibri" w:hAnsi="Calibri" w:cs="Calibri"/>
          <w:b/>
          <w:bCs/>
        </w:rPr>
      </w:pPr>
    </w:p>
    <w:p w14:paraId="30A65202"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Cross-Functional Collaboration</w:t>
      </w:r>
    </w:p>
    <w:p w14:paraId="77A4DDAE" w14:textId="2E212DCB" w:rsidR="00C34908" w:rsidRPr="00EC7F69" w:rsidRDefault="00C34908" w:rsidP="00C34908">
      <w:pPr>
        <w:numPr>
          <w:ilvl w:val="0"/>
          <w:numId w:val="3"/>
        </w:numPr>
        <w:spacing w:after="0" w:line="240" w:lineRule="auto"/>
        <w:rPr>
          <w:rFonts w:ascii="Calibri" w:hAnsi="Calibri" w:cs="Calibri"/>
        </w:rPr>
      </w:pPr>
      <w:r w:rsidRPr="00EC7F69">
        <w:rPr>
          <w:rFonts w:ascii="Calibri" w:hAnsi="Calibri" w:cs="Calibri"/>
        </w:rPr>
        <w:t xml:space="preserve">Work closely with other </w:t>
      </w:r>
      <w:r w:rsidR="0058597E">
        <w:rPr>
          <w:rFonts w:ascii="Calibri" w:hAnsi="Calibri" w:cs="Calibri"/>
        </w:rPr>
        <w:t xml:space="preserve">SDCP </w:t>
      </w:r>
      <w:r w:rsidRPr="00EC7F69">
        <w:rPr>
          <w:rFonts w:ascii="Calibri" w:hAnsi="Calibri" w:cs="Calibri"/>
        </w:rPr>
        <w:t>departments to ensure cohesive strategy execution, breaking down silos and driving collaboration across teams.</w:t>
      </w:r>
    </w:p>
    <w:p w14:paraId="0AD95CF1" w14:textId="77777777" w:rsidR="00C34908" w:rsidRPr="00EC7F69" w:rsidRDefault="00C34908" w:rsidP="00C34908">
      <w:pPr>
        <w:numPr>
          <w:ilvl w:val="0"/>
          <w:numId w:val="3"/>
        </w:numPr>
        <w:spacing w:after="0" w:line="240" w:lineRule="auto"/>
        <w:rPr>
          <w:rFonts w:ascii="Calibri" w:hAnsi="Calibri" w:cs="Calibri"/>
        </w:rPr>
      </w:pPr>
      <w:r w:rsidRPr="00EC7F69">
        <w:rPr>
          <w:rFonts w:ascii="Calibri" w:hAnsi="Calibri" w:cs="Calibri"/>
        </w:rPr>
        <w:t>Encourag</w:t>
      </w:r>
      <w:r>
        <w:rPr>
          <w:rFonts w:ascii="Calibri" w:hAnsi="Calibri" w:cs="Calibri"/>
        </w:rPr>
        <w:t>e</w:t>
      </w:r>
      <w:r w:rsidRPr="00EC7F69">
        <w:rPr>
          <w:rFonts w:ascii="Calibri" w:hAnsi="Calibri" w:cs="Calibri"/>
        </w:rPr>
        <w:t xml:space="preserve"> creative solutions that draw on the expertise of multiple functions, leveraging diverse perspectives to solve complex organizational challenges.</w:t>
      </w:r>
    </w:p>
    <w:p w14:paraId="4FCF3F6C" w14:textId="77777777" w:rsidR="00C34908" w:rsidRDefault="00C34908" w:rsidP="00C34908">
      <w:pPr>
        <w:spacing w:after="0" w:line="240" w:lineRule="auto"/>
        <w:rPr>
          <w:rFonts w:ascii="Calibri" w:hAnsi="Calibri" w:cs="Calibri"/>
          <w:b/>
          <w:bCs/>
        </w:rPr>
      </w:pPr>
    </w:p>
    <w:p w14:paraId="5CC10313"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 xml:space="preserve">Funding and Resource Management </w:t>
      </w:r>
    </w:p>
    <w:p w14:paraId="739FDEDE" w14:textId="77777777" w:rsidR="00C34908" w:rsidRPr="00EC7F69" w:rsidRDefault="00C34908" w:rsidP="00C34908">
      <w:pPr>
        <w:numPr>
          <w:ilvl w:val="0"/>
          <w:numId w:val="4"/>
        </w:numPr>
        <w:spacing w:after="0" w:line="240" w:lineRule="auto"/>
        <w:rPr>
          <w:rFonts w:ascii="Calibri" w:hAnsi="Calibri" w:cs="Calibri"/>
        </w:rPr>
      </w:pPr>
      <w:r w:rsidRPr="00EC7F69">
        <w:rPr>
          <w:rFonts w:ascii="Calibri" w:hAnsi="Calibri" w:cs="Calibri"/>
        </w:rPr>
        <w:t xml:space="preserve">Oversee and optimize the allocation of resources (people, budget, and technology) to ensure cost effective efficient delivery of your thematic operational plan. </w:t>
      </w:r>
    </w:p>
    <w:p w14:paraId="5735EB39" w14:textId="77777777" w:rsidR="00C34908" w:rsidRPr="0031664F" w:rsidRDefault="00C34908" w:rsidP="00C34908">
      <w:pPr>
        <w:pStyle w:val="ListParagraph"/>
        <w:numPr>
          <w:ilvl w:val="0"/>
          <w:numId w:val="4"/>
        </w:numPr>
        <w:spacing w:after="0" w:line="240" w:lineRule="auto"/>
        <w:rPr>
          <w:rFonts w:ascii="Calibri" w:hAnsi="Calibri" w:cs="Calibri"/>
          <w:color w:val="000000" w:themeColor="text1"/>
        </w:rPr>
      </w:pPr>
      <w:r w:rsidRPr="00EC7F69">
        <w:rPr>
          <w:rFonts w:ascii="Calibri" w:hAnsi="Calibri" w:cs="Calibri"/>
        </w:rPr>
        <w:t>Proactively identify and address any resource constraints or gaps.</w:t>
      </w:r>
      <w:r w:rsidRPr="00EC7F69">
        <w:rPr>
          <w:rFonts w:ascii="Calibri" w:hAnsi="Calibri" w:cs="Calibri"/>
          <w:color w:val="000000" w:themeColor="text1"/>
        </w:rPr>
        <w:t xml:space="preserve"> Identification of funding sources and application completion. Responsib</w:t>
      </w:r>
      <w:r>
        <w:rPr>
          <w:rFonts w:ascii="Calibri" w:hAnsi="Calibri" w:cs="Calibri"/>
          <w:color w:val="000000" w:themeColor="text1"/>
        </w:rPr>
        <w:t>ility</w:t>
      </w:r>
      <w:r w:rsidRPr="00EC7F69">
        <w:rPr>
          <w:rFonts w:ascii="Calibri" w:hAnsi="Calibri" w:cs="Calibri"/>
          <w:color w:val="000000" w:themeColor="text1"/>
        </w:rPr>
        <w:t xml:space="preserve"> for ensuring monitoring systems are kept up to date while reporting available data to relevant funders.</w:t>
      </w:r>
    </w:p>
    <w:p w14:paraId="4A8DDE38" w14:textId="77777777" w:rsidR="00C34908" w:rsidRPr="00EC7F69" w:rsidRDefault="00C34908" w:rsidP="00C34908">
      <w:pPr>
        <w:pStyle w:val="ListParagraph"/>
        <w:numPr>
          <w:ilvl w:val="0"/>
          <w:numId w:val="4"/>
        </w:numPr>
        <w:spacing w:after="0" w:line="240" w:lineRule="auto"/>
        <w:rPr>
          <w:rFonts w:ascii="Calibri" w:hAnsi="Calibri" w:cs="Calibri"/>
        </w:rPr>
      </w:pPr>
      <w:r w:rsidRPr="00EC7F69">
        <w:rPr>
          <w:rFonts w:ascii="Calibri" w:hAnsi="Calibri" w:cs="Calibri"/>
        </w:rPr>
        <w:t>Liais</w:t>
      </w:r>
      <w:r>
        <w:rPr>
          <w:rFonts w:ascii="Calibri" w:hAnsi="Calibri" w:cs="Calibri"/>
        </w:rPr>
        <w:t>e</w:t>
      </w:r>
      <w:r w:rsidRPr="00EC7F69">
        <w:rPr>
          <w:rFonts w:ascii="Calibri" w:hAnsi="Calibri" w:cs="Calibri"/>
        </w:rPr>
        <w:t xml:space="preserve"> with funders, negotiat</w:t>
      </w:r>
      <w:r>
        <w:rPr>
          <w:rFonts w:ascii="Calibri" w:hAnsi="Calibri" w:cs="Calibri"/>
        </w:rPr>
        <w:t>e</w:t>
      </w:r>
      <w:r w:rsidRPr="00EC7F69">
        <w:rPr>
          <w:rFonts w:ascii="Calibri" w:hAnsi="Calibri" w:cs="Calibri"/>
        </w:rPr>
        <w:t xml:space="preserve"> external contract</w:t>
      </w:r>
      <w:r>
        <w:rPr>
          <w:rFonts w:ascii="Calibri" w:hAnsi="Calibri" w:cs="Calibri"/>
        </w:rPr>
        <w:t>s</w:t>
      </w:r>
      <w:r w:rsidRPr="00EC7F69">
        <w:rPr>
          <w:rFonts w:ascii="Calibri" w:hAnsi="Calibri" w:cs="Calibri"/>
        </w:rPr>
        <w:t xml:space="preserve"> and develop reporting relationships with statutory bodies and agencies </w:t>
      </w:r>
    </w:p>
    <w:p w14:paraId="3F92F57E" w14:textId="77777777" w:rsidR="00C34908" w:rsidRPr="00EC7F69" w:rsidRDefault="00C34908" w:rsidP="00C34908">
      <w:pPr>
        <w:spacing w:after="0" w:line="240" w:lineRule="auto"/>
        <w:ind w:left="720"/>
        <w:rPr>
          <w:rFonts w:ascii="Calibri" w:hAnsi="Calibri" w:cs="Calibri"/>
        </w:rPr>
      </w:pPr>
    </w:p>
    <w:p w14:paraId="03E0B2E0"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Change Management</w:t>
      </w:r>
    </w:p>
    <w:p w14:paraId="5E3AF585" w14:textId="77777777" w:rsidR="00C34908" w:rsidRPr="00EC7F69" w:rsidRDefault="00C34908" w:rsidP="00C34908">
      <w:pPr>
        <w:numPr>
          <w:ilvl w:val="0"/>
          <w:numId w:val="5"/>
        </w:numPr>
        <w:spacing w:after="0" w:line="240" w:lineRule="auto"/>
        <w:rPr>
          <w:rFonts w:ascii="Calibri" w:hAnsi="Calibri" w:cs="Calibri"/>
        </w:rPr>
      </w:pPr>
      <w:r w:rsidRPr="00EC7F69">
        <w:rPr>
          <w:rFonts w:ascii="Calibri" w:hAnsi="Calibri" w:cs="Calibri"/>
        </w:rPr>
        <w:t>Lead change management efforts to ensure smooth transitions when new strategies, processes, or initiatives are introduced.</w:t>
      </w:r>
    </w:p>
    <w:p w14:paraId="16E9C75C" w14:textId="77777777" w:rsidR="00C34908" w:rsidRPr="00EC7F69" w:rsidRDefault="00C34908" w:rsidP="00C34908">
      <w:pPr>
        <w:numPr>
          <w:ilvl w:val="0"/>
          <w:numId w:val="5"/>
        </w:numPr>
        <w:spacing w:after="0" w:line="240" w:lineRule="auto"/>
        <w:rPr>
          <w:rFonts w:ascii="Calibri" w:hAnsi="Calibri" w:cs="Calibri"/>
        </w:rPr>
      </w:pPr>
      <w:r w:rsidRPr="00EC7F69">
        <w:rPr>
          <w:rFonts w:ascii="Calibri" w:hAnsi="Calibri" w:cs="Calibri"/>
        </w:rPr>
        <w:t>Communicate effectively with staff about changes and ensure alignment with new organizational directions.</w:t>
      </w:r>
    </w:p>
    <w:p w14:paraId="2191D84F" w14:textId="77777777" w:rsidR="00C34908" w:rsidRDefault="00C34908" w:rsidP="00C34908">
      <w:pPr>
        <w:spacing w:after="0" w:line="240" w:lineRule="auto"/>
        <w:rPr>
          <w:rFonts w:ascii="Calibri" w:hAnsi="Calibri" w:cs="Calibri"/>
          <w:b/>
          <w:bCs/>
          <w:color w:val="000000" w:themeColor="text1"/>
        </w:rPr>
      </w:pPr>
    </w:p>
    <w:p w14:paraId="732417E7" w14:textId="77777777" w:rsidR="00C34908" w:rsidRPr="00EC7F69" w:rsidRDefault="00C34908" w:rsidP="00C34908">
      <w:pPr>
        <w:spacing w:after="0" w:line="240" w:lineRule="auto"/>
        <w:rPr>
          <w:rFonts w:ascii="Calibri" w:hAnsi="Calibri" w:cs="Calibri"/>
          <w:b/>
          <w:bCs/>
          <w:color w:val="000000" w:themeColor="text1"/>
        </w:rPr>
      </w:pPr>
      <w:r w:rsidRPr="00EC7F69">
        <w:rPr>
          <w:rFonts w:ascii="Calibri" w:hAnsi="Calibri" w:cs="Calibri"/>
          <w:b/>
          <w:bCs/>
          <w:color w:val="000000" w:themeColor="text1"/>
        </w:rPr>
        <w:t xml:space="preserve">Governance </w:t>
      </w:r>
    </w:p>
    <w:p w14:paraId="4AB5E484" w14:textId="272FFEA0" w:rsidR="00C34908" w:rsidRPr="003607FF" w:rsidRDefault="00C34908" w:rsidP="003607FF">
      <w:pPr>
        <w:pStyle w:val="ListParagraph"/>
        <w:numPr>
          <w:ilvl w:val="0"/>
          <w:numId w:val="10"/>
        </w:numPr>
        <w:spacing w:after="0" w:line="240" w:lineRule="auto"/>
        <w:rPr>
          <w:rFonts w:ascii="Calibri" w:hAnsi="Calibri" w:cs="Calibri"/>
          <w:color w:val="000000" w:themeColor="text1"/>
        </w:rPr>
      </w:pPr>
      <w:r w:rsidRPr="003607FF">
        <w:rPr>
          <w:rFonts w:ascii="Calibri" w:hAnsi="Calibri" w:cs="Calibri"/>
          <w:color w:val="000000" w:themeColor="text1"/>
        </w:rPr>
        <w:t xml:space="preserve">Collaborate with finance team to forecast and manage costs related to </w:t>
      </w:r>
      <w:r w:rsidR="003607FF" w:rsidRPr="003607FF">
        <w:rPr>
          <w:rFonts w:ascii="Calibri" w:hAnsi="Calibri" w:cs="Calibri"/>
          <w:color w:val="000000" w:themeColor="text1"/>
        </w:rPr>
        <w:t>TDATF</w:t>
      </w:r>
      <w:r w:rsidRPr="003607FF">
        <w:rPr>
          <w:rFonts w:ascii="Calibri" w:hAnsi="Calibri" w:cs="Calibri"/>
          <w:color w:val="000000" w:themeColor="text1"/>
        </w:rPr>
        <w:t xml:space="preserve"> and funding allocation. </w:t>
      </w:r>
    </w:p>
    <w:p w14:paraId="3F0C6F80" w14:textId="7BBEC679" w:rsidR="00C34908" w:rsidRPr="00EC7F69" w:rsidRDefault="00C34908" w:rsidP="00C34908">
      <w:pPr>
        <w:pStyle w:val="ListParagraph"/>
        <w:numPr>
          <w:ilvl w:val="0"/>
          <w:numId w:val="6"/>
        </w:numPr>
        <w:spacing w:after="0" w:line="240" w:lineRule="auto"/>
        <w:rPr>
          <w:rFonts w:ascii="Calibri" w:hAnsi="Calibri" w:cs="Calibri"/>
          <w:color w:val="FF0000"/>
        </w:rPr>
      </w:pPr>
      <w:r w:rsidRPr="00EC7F69">
        <w:rPr>
          <w:rFonts w:ascii="Calibri" w:hAnsi="Calibri" w:cs="Calibri"/>
          <w:color w:val="000000" w:themeColor="text1"/>
        </w:rPr>
        <w:t xml:space="preserve">Responsibility for ensuring all policies, GPDR, Child Protection, Health &amp; Safety statements, etc. are current, comply with relevant legislation and are implemented </w:t>
      </w:r>
      <w:r w:rsidR="003607FF">
        <w:rPr>
          <w:rFonts w:ascii="Calibri" w:hAnsi="Calibri" w:cs="Calibri"/>
          <w:color w:val="000000" w:themeColor="text1"/>
        </w:rPr>
        <w:t>within TDATF</w:t>
      </w:r>
      <w:r w:rsidRPr="00EC7F69">
        <w:rPr>
          <w:rFonts w:ascii="Calibri" w:hAnsi="Calibri" w:cs="Calibri"/>
          <w:color w:val="000000" w:themeColor="text1"/>
        </w:rPr>
        <w:t xml:space="preserve">. </w:t>
      </w:r>
    </w:p>
    <w:p w14:paraId="5B1E4948" w14:textId="77777777" w:rsidR="00C34908" w:rsidRPr="00EC7F69" w:rsidRDefault="00C34908" w:rsidP="00C34908">
      <w:pPr>
        <w:pStyle w:val="ListParagraph"/>
        <w:numPr>
          <w:ilvl w:val="0"/>
          <w:numId w:val="6"/>
        </w:numPr>
        <w:spacing w:after="0" w:line="240" w:lineRule="auto"/>
        <w:rPr>
          <w:rFonts w:ascii="Calibri" w:hAnsi="Calibri" w:cs="Calibri"/>
        </w:rPr>
      </w:pPr>
      <w:r w:rsidRPr="00EC7F69">
        <w:rPr>
          <w:rFonts w:ascii="Calibri" w:hAnsi="Calibri" w:cs="Calibri"/>
        </w:rPr>
        <w:t xml:space="preserve">Monitoring and report writing as required by funders. </w:t>
      </w:r>
    </w:p>
    <w:p w14:paraId="52B8CF88" w14:textId="77777777" w:rsidR="00C34908" w:rsidRPr="00EC7F69" w:rsidRDefault="00C34908" w:rsidP="00C34908">
      <w:pPr>
        <w:spacing w:after="0" w:line="240" w:lineRule="auto"/>
        <w:rPr>
          <w:rFonts w:ascii="Calibri" w:hAnsi="Calibri" w:cs="Calibri"/>
          <w:b/>
          <w:bCs/>
        </w:rPr>
      </w:pPr>
      <w:r w:rsidRPr="00EC7F69">
        <w:rPr>
          <w:rFonts w:ascii="Calibri" w:hAnsi="Calibri" w:cs="Calibri"/>
          <w:b/>
          <w:bCs/>
        </w:rPr>
        <w:t>Continuous Improvement &amp; Innovation</w:t>
      </w:r>
    </w:p>
    <w:p w14:paraId="16FE7B6F" w14:textId="77777777" w:rsidR="00C34908" w:rsidRPr="00EC7F69" w:rsidRDefault="00C34908" w:rsidP="00C34908">
      <w:pPr>
        <w:pStyle w:val="ListParagraph"/>
        <w:numPr>
          <w:ilvl w:val="0"/>
          <w:numId w:val="7"/>
        </w:numPr>
        <w:spacing w:after="0" w:line="240" w:lineRule="auto"/>
        <w:rPr>
          <w:rFonts w:ascii="Calibri" w:hAnsi="Calibri" w:cs="Calibri"/>
        </w:rPr>
      </w:pPr>
      <w:r w:rsidRPr="00EC7F69">
        <w:rPr>
          <w:rFonts w:ascii="Calibri" w:hAnsi="Calibri" w:cs="Calibri"/>
        </w:rPr>
        <w:t>Foster a culture of innovation and continuous improvement by identifying opportunities to refine processes, improve efficiency, and enhance outcomes. Evalua</w:t>
      </w:r>
      <w:r>
        <w:rPr>
          <w:rFonts w:ascii="Calibri" w:hAnsi="Calibri" w:cs="Calibri"/>
        </w:rPr>
        <w:t>te</w:t>
      </w:r>
      <w:r w:rsidRPr="00EC7F69">
        <w:rPr>
          <w:rFonts w:ascii="Calibri" w:hAnsi="Calibri" w:cs="Calibri"/>
        </w:rPr>
        <w:t xml:space="preserve"> and report on programmes and initiatives</w:t>
      </w:r>
    </w:p>
    <w:p w14:paraId="3BD221CC" w14:textId="77777777" w:rsidR="00C34908" w:rsidRPr="00EC7F69" w:rsidRDefault="00C34908" w:rsidP="00C34908">
      <w:pPr>
        <w:numPr>
          <w:ilvl w:val="0"/>
          <w:numId w:val="7"/>
        </w:numPr>
        <w:spacing w:after="0" w:line="240" w:lineRule="auto"/>
        <w:rPr>
          <w:rFonts w:ascii="Calibri" w:hAnsi="Calibri" w:cs="Calibri"/>
        </w:rPr>
      </w:pPr>
      <w:r w:rsidRPr="00EC7F69">
        <w:rPr>
          <w:rFonts w:ascii="Calibri" w:hAnsi="Calibri" w:cs="Calibri"/>
        </w:rPr>
        <w:t>Stay informed of external strategy, research and best practices to ensure the organization remains informed and agile in the thematic responsib</w:t>
      </w:r>
      <w:r>
        <w:rPr>
          <w:rFonts w:ascii="Calibri" w:hAnsi="Calibri" w:cs="Calibri"/>
        </w:rPr>
        <w:t>ility</w:t>
      </w:r>
      <w:r w:rsidRPr="00EC7F69">
        <w:rPr>
          <w:rFonts w:ascii="Calibri" w:hAnsi="Calibri" w:cs="Calibri"/>
        </w:rPr>
        <w:t xml:space="preserve">. </w:t>
      </w:r>
    </w:p>
    <w:p w14:paraId="13E1251D" w14:textId="77777777" w:rsidR="00C34908" w:rsidRPr="000C5DF1" w:rsidRDefault="00C34908" w:rsidP="00C34908">
      <w:pPr>
        <w:spacing w:after="0" w:line="240" w:lineRule="auto"/>
        <w:rPr>
          <w:rFonts w:ascii="Calibri" w:hAnsi="Calibri" w:cs="Calibri"/>
        </w:rPr>
      </w:pPr>
    </w:p>
    <w:p w14:paraId="342E216A" w14:textId="2CF47081" w:rsidR="00B4539E" w:rsidRPr="00D45D4B" w:rsidRDefault="00C34908" w:rsidP="00D45D4B">
      <w:pPr>
        <w:spacing w:after="0" w:line="240" w:lineRule="auto"/>
        <w:rPr>
          <w:rFonts w:ascii="Calibri" w:hAnsi="Calibri" w:cs="Calibri"/>
          <w:color w:val="000000" w:themeColor="text1"/>
        </w:rPr>
      </w:pPr>
      <w:r w:rsidRPr="000C5DF1">
        <w:rPr>
          <w:rFonts w:ascii="Calibri" w:hAnsi="Calibri" w:cs="Calibri"/>
          <w:color w:val="000000" w:themeColor="text1"/>
        </w:rPr>
        <w:t xml:space="preserve">The above description is not exhaustive, and the post-holder may be required to fulfil other functions as required by the SDCP CEO / </w:t>
      </w:r>
      <w:r w:rsidR="00FD12F6" w:rsidRPr="000C5DF1">
        <w:rPr>
          <w:rFonts w:ascii="Calibri" w:hAnsi="Calibri" w:cs="Calibri"/>
          <w:color w:val="000000" w:themeColor="text1"/>
        </w:rPr>
        <w:t xml:space="preserve">TDATF </w:t>
      </w:r>
      <w:r w:rsidRPr="000C5DF1">
        <w:rPr>
          <w:rFonts w:ascii="Calibri" w:hAnsi="Calibri" w:cs="Calibri"/>
          <w:color w:val="000000" w:themeColor="text1"/>
        </w:rPr>
        <w:t xml:space="preserve">Board. </w:t>
      </w:r>
    </w:p>
    <w:p w14:paraId="026099C4" w14:textId="21E047C5" w:rsidR="00C34908" w:rsidRPr="000C5DF1" w:rsidRDefault="00C34908" w:rsidP="00C34908">
      <w:pPr>
        <w:spacing w:after="200" w:line="276" w:lineRule="auto"/>
        <w:rPr>
          <w:rFonts w:ascii="Calibri" w:eastAsia="Times New Roman" w:hAnsi="Calibri" w:cs="Calibri"/>
          <w:b/>
          <w:bCs/>
          <w:lang w:val="en-US"/>
        </w:rPr>
      </w:pPr>
      <w:r w:rsidRPr="000C5DF1">
        <w:rPr>
          <w:rFonts w:ascii="Calibri" w:eastAsia="Times New Roman" w:hAnsi="Calibri" w:cs="Calibri"/>
          <w:b/>
          <w:bCs/>
          <w:lang w:val="en-US"/>
        </w:rPr>
        <w:lastRenderedPageBreak/>
        <w:t>Essential Criteria</w:t>
      </w:r>
    </w:p>
    <w:p w14:paraId="4EF7AECC" w14:textId="77777777" w:rsidR="00C34908" w:rsidRPr="000C5DF1" w:rsidRDefault="00C34908" w:rsidP="00C34908">
      <w:pPr>
        <w:pStyle w:val="ListParagraph"/>
        <w:numPr>
          <w:ilvl w:val="0"/>
          <w:numId w:val="9"/>
        </w:numPr>
        <w:spacing w:after="200" w:line="276" w:lineRule="auto"/>
        <w:rPr>
          <w:rFonts w:ascii="Calibri" w:eastAsia="Times New Roman" w:hAnsi="Calibri" w:cs="Calibri"/>
          <w:lang w:val="en-US"/>
        </w:rPr>
      </w:pPr>
      <w:r w:rsidRPr="000C5DF1">
        <w:rPr>
          <w:rFonts w:ascii="Calibri" w:eastAsia="Times New Roman" w:hAnsi="Calibri" w:cs="Calibri"/>
          <w:lang w:val="en-US"/>
        </w:rPr>
        <w:t>A relevant third level qualification at Level 7 or above.</w:t>
      </w:r>
    </w:p>
    <w:p w14:paraId="6564DD66" w14:textId="77777777" w:rsidR="000C5DF1" w:rsidRDefault="00C34908" w:rsidP="00DF3640">
      <w:pPr>
        <w:pStyle w:val="ListParagraph"/>
        <w:numPr>
          <w:ilvl w:val="0"/>
          <w:numId w:val="9"/>
        </w:numPr>
        <w:spacing w:after="0" w:line="240" w:lineRule="auto"/>
        <w:rPr>
          <w:rFonts w:ascii="Calibri" w:eastAsia="Times New Roman" w:hAnsi="Calibri" w:cs="Calibri"/>
          <w:lang w:val="en-US"/>
        </w:rPr>
      </w:pPr>
      <w:r w:rsidRPr="000C5DF1">
        <w:rPr>
          <w:rFonts w:ascii="Calibri" w:eastAsia="Times New Roman" w:hAnsi="Calibri" w:cs="Calibri"/>
          <w:lang w:val="en-US"/>
        </w:rPr>
        <w:t>At least 4 years’ experience in the field of addiction, youth work, community development or a related field</w:t>
      </w:r>
    </w:p>
    <w:p w14:paraId="0EF9A39A" w14:textId="3B53F42D" w:rsidR="00C34908" w:rsidRPr="000C5DF1" w:rsidRDefault="000C5DF1" w:rsidP="00DF3640">
      <w:pPr>
        <w:pStyle w:val="ListParagraph"/>
        <w:numPr>
          <w:ilvl w:val="0"/>
          <w:numId w:val="9"/>
        </w:numPr>
        <w:spacing w:after="0" w:line="240" w:lineRule="auto"/>
        <w:rPr>
          <w:rFonts w:ascii="Calibri" w:eastAsia="Times New Roman" w:hAnsi="Calibri" w:cs="Calibri"/>
          <w:lang w:val="en-US"/>
        </w:rPr>
      </w:pPr>
      <w:r>
        <w:rPr>
          <w:rFonts w:ascii="Calibri" w:eastAsia="Times New Roman" w:hAnsi="Calibri" w:cs="Calibri"/>
          <w:lang w:val="en-US"/>
        </w:rPr>
        <w:t>A minimum of two years</w:t>
      </w:r>
      <w:r w:rsidR="00C34908" w:rsidRPr="000C5DF1">
        <w:rPr>
          <w:rFonts w:ascii="Calibri" w:eastAsia="Times New Roman" w:hAnsi="Calibri" w:cs="Calibri"/>
          <w:lang w:val="en-US"/>
        </w:rPr>
        <w:t xml:space="preserve"> </w:t>
      </w:r>
      <w:r>
        <w:rPr>
          <w:rFonts w:ascii="Calibri" w:eastAsia="Times New Roman" w:hAnsi="Calibri" w:cs="Calibri"/>
          <w:lang w:val="en-US"/>
        </w:rPr>
        <w:t xml:space="preserve">in </w:t>
      </w:r>
      <w:r w:rsidR="00C34908" w:rsidRPr="000C5DF1">
        <w:rPr>
          <w:rFonts w:ascii="Calibri" w:eastAsia="Times New Roman" w:hAnsi="Calibri" w:cs="Calibri"/>
          <w:lang w:val="en-US"/>
        </w:rPr>
        <w:t xml:space="preserve">a management capacity. </w:t>
      </w:r>
    </w:p>
    <w:p w14:paraId="1C47CA32" w14:textId="77777777" w:rsidR="005B4EFD" w:rsidRPr="000C5DF1" w:rsidRDefault="005B4EFD" w:rsidP="00DF3640">
      <w:pPr>
        <w:spacing w:after="0" w:line="240" w:lineRule="auto"/>
        <w:rPr>
          <w:rFonts w:ascii="Calibri" w:hAnsi="Calibri" w:cs="Calibri"/>
        </w:rPr>
      </w:pPr>
    </w:p>
    <w:p w14:paraId="1D93C074" w14:textId="77777777" w:rsidR="00DF3640" w:rsidRPr="000C5DF1" w:rsidRDefault="00DF3640" w:rsidP="00DF3640">
      <w:pPr>
        <w:spacing w:after="0" w:line="240" w:lineRule="auto"/>
        <w:jc w:val="both"/>
        <w:rPr>
          <w:rFonts w:ascii="Calibri" w:eastAsia="Calibri" w:hAnsi="Calibri" w:cs="Calibri"/>
          <w:b/>
          <w:bCs/>
          <w:lang w:val="en" w:eastAsia="en-IE"/>
        </w:rPr>
      </w:pPr>
      <w:r w:rsidRPr="000C5DF1">
        <w:rPr>
          <w:rFonts w:ascii="Calibri" w:eastAsia="Calibri" w:hAnsi="Calibri" w:cs="Calibri"/>
          <w:b/>
          <w:bCs/>
          <w:lang w:val="en" w:eastAsia="en-IE"/>
        </w:rPr>
        <w:t>Renumeration Package &amp; Benefits:  </w:t>
      </w:r>
    </w:p>
    <w:p w14:paraId="228AB88E" w14:textId="1354344E" w:rsidR="00DF3640" w:rsidRPr="00D45D4B" w:rsidRDefault="00DF3640" w:rsidP="00DF3640">
      <w:pPr>
        <w:numPr>
          <w:ilvl w:val="0"/>
          <w:numId w:val="12"/>
        </w:numPr>
        <w:shd w:val="clear" w:color="auto" w:fill="FFFFFF"/>
        <w:spacing w:after="0" w:line="240" w:lineRule="auto"/>
        <w:contextualSpacing/>
        <w:jc w:val="both"/>
        <w:rPr>
          <w:rFonts w:ascii="Calibri" w:eastAsia="Calibri" w:hAnsi="Calibri" w:cs="Calibri"/>
          <w:shd w:val="clear" w:color="auto" w:fill="FFFFFF"/>
        </w:rPr>
      </w:pPr>
      <w:r w:rsidRPr="000C5DF1">
        <w:rPr>
          <w:rFonts w:ascii="Calibri" w:eastAsia="Calibri" w:hAnsi="Calibri" w:cs="Calibri"/>
          <w:lang w:val="en" w:eastAsia="en-IE"/>
        </w:rPr>
        <w:t xml:space="preserve">The Manager 1 </w:t>
      </w:r>
      <w:r w:rsidR="006A5CF6" w:rsidRPr="000C5DF1">
        <w:rPr>
          <w:rFonts w:ascii="Calibri" w:eastAsia="Calibri" w:hAnsi="Calibri" w:cs="Calibri"/>
          <w:lang w:val="en" w:eastAsia="en-IE"/>
        </w:rPr>
        <w:t xml:space="preserve">(TDATF Coordinator) </w:t>
      </w:r>
      <w:r w:rsidRPr="000C5DF1">
        <w:rPr>
          <w:rFonts w:ascii="Calibri" w:eastAsia="Calibri" w:hAnsi="Calibri" w:cs="Calibri"/>
          <w:lang w:val="en" w:eastAsia="en-IE"/>
        </w:rPr>
        <w:t xml:space="preserve">salary scale is </w:t>
      </w:r>
      <w:r w:rsidR="006A5CF6" w:rsidRPr="000C5DF1">
        <w:rPr>
          <w:rFonts w:ascii="Calibri" w:eastAsia="Calibri" w:hAnsi="Calibri" w:cs="Calibri"/>
          <w:lang w:val="en" w:eastAsia="en-IE"/>
        </w:rPr>
        <w:t xml:space="preserve">below. It is </w:t>
      </w:r>
      <w:r w:rsidR="000C5DF1">
        <w:rPr>
          <w:rFonts w:ascii="Calibri" w:eastAsia="Calibri" w:hAnsi="Calibri" w:cs="Calibri"/>
          <w:lang w:val="en" w:eastAsia="en-IE"/>
        </w:rPr>
        <w:t xml:space="preserve">expected </w:t>
      </w:r>
      <w:r w:rsidR="006A5CF6" w:rsidRPr="000C5DF1">
        <w:rPr>
          <w:rFonts w:ascii="Calibri" w:eastAsia="Calibri" w:hAnsi="Calibri" w:cs="Calibri"/>
          <w:lang w:val="en" w:eastAsia="en-IE"/>
        </w:rPr>
        <w:t xml:space="preserve">that new staff will be appointed on point 1 of the scale, but additional points may be awarded based </w:t>
      </w:r>
      <w:r w:rsidR="000C5DF1">
        <w:rPr>
          <w:rFonts w:ascii="Calibri" w:eastAsia="Calibri" w:hAnsi="Calibri" w:cs="Calibri"/>
          <w:lang w:val="en" w:eastAsia="en-IE"/>
        </w:rPr>
        <w:t>o</w:t>
      </w:r>
      <w:r w:rsidR="006A5CF6" w:rsidRPr="000C5DF1">
        <w:rPr>
          <w:rFonts w:ascii="Calibri" w:eastAsia="Calibri" w:hAnsi="Calibri" w:cs="Calibri"/>
          <w:lang w:val="en" w:eastAsia="en-IE"/>
        </w:rPr>
        <w:t xml:space="preserve">n </w:t>
      </w:r>
      <w:r w:rsidR="000C5DF1" w:rsidRPr="000C5DF1">
        <w:rPr>
          <w:rFonts w:ascii="Calibri" w:eastAsia="Calibri" w:hAnsi="Calibri" w:cs="Calibri"/>
          <w:lang w:val="en" w:eastAsia="en-IE"/>
        </w:rPr>
        <w:t xml:space="preserve">an individual’s experience. </w:t>
      </w:r>
    </w:p>
    <w:p w14:paraId="0F28D27D" w14:textId="77777777" w:rsidR="00D45D4B" w:rsidRPr="00D45D4B" w:rsidRDefault="00D45D4B" w:rsidP="00D45D4B">
      <w:pPr>
        <w:shd w:val="clear" w:color="auto" w:fill="FFFFFF"/>
        <w:spacing w:after="0" w:line="240" w:lineRule="auto"/>
        <w:ind w:left="720"/>
        <w:contextualSpacing/>
        <w:jc w:val="both"/>
        <w:rPr>
          <w:rFonts w:ascii="Calibri" w:eastAsia="Calibri" w:hAnsi="Calibri" w:cs="Calibri"/>
          <w:sz w:val="10"/>
          <w:szCs w:val="10"/>
          <w:shd w:val="clear" w:color="auto" w:fill="FFFFFF"/>
        </w:rPr>
      </w:pPr>
    </w:p>
    <w:tbl>
      <w:tblPr>
        <w:tblStyle w:val="TableGrid"/>
        <w:tblW w:w="0" w:type="auto"/>
        <w:tblLook w:val="04A0" w:firstRow="1" w:lastRow="0" w:firstColumn="1" w:lastColumn="0" w:noHBand="0" w:noVBand="1"/>
      </w:tblPr>
      <w:tblGrid>
        <w:gridCol w:w="700"/>
        <w:gridCol w:w="3585"/>
      </w:tblGrid>
      <w:tr w:rsidR="00DF3640" w:rsidRPr="000C5DF1" w14:paraId="36CA0EFB" w14:textId="77777777" w:rsidTr="006A5CF6">
        <w:trPr>
          <w:trHeight w:val="315"/>
        </w:trPr>
        <w:tc>
          <w:tcPr>
            <w:tcW w:w="4285" w:type="dxa"/>
            <w:gridSpan w:val="2"/>
            <w:noWrap/>
            <w:hideMark/>
          </w:tcPr>
          <w:p w14:paraId="6535D5F5" w14:textId="5AE626BD" w:rsidR="00DF3640"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Manager 1</w:t>
            </w:r>
            <w:r w:rsidR="00DF3640" w:rsidRPr="000C5DF1">
              <w:rPr>
                <w:rFonts w:ascii="Calibri" w:eastAsia="Calibri" w:hAnsi="Calibri" w:cs="Calibri"/>
                <w:b/>
                <w:bCs/>
                <w:shd w:val="clear" w:color="auto" w:fill="FFFFFF"/>
              </w:rPr>
              <w:t xml:space="preserve"> – Senior Manager</w:t>
            </w:r>
          </w:p>
        </w:tc>
      </w:tr>
      <w:tr w:rsidR="006A5CF6" w:rsidRPr="000C5DF1" w14:paraId="1B812250" w14:textId="77777777" w:rsidTr="00DF3640">
        <w:trPr>
          <w:trHeight w:val="315"/>
        </w:trPr>
        <w:tc>
          <w:tcPr>
            <w:tcW w:w="700" w:type="dxa"/>
            <w:noWrap/>
            <w:hideMark/>
          </w:tcPr>
          <w:p w14:paraId="00F933BB" w14:textId="39F92D9D"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Point</w:t>
            </w:r>
          </w:p>
        </w:tc>
        <w:tc>
          <w:tcPr>
            <w:tcW w:w="3585" w:type="dxa"/>
            <w:noWrap/>
            <w:hideMark/>
          </w:tcPr>
          <w:p w14:paraId="32A2681E" w14:textId="5311FF76"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Salary</w:t>
            </w:r>
          </w:p>
        </w:tc>
      </w:tr>
      <w:tr w:rsidR="006A5CF6" w:rsidRPr="000C5DF1" w14:paraId="23A04366" w14:textId="77777777" w:rsidTr="00DF3640">
        <w:trPr>
          <w:trHeight w:val="315"/>
        </w:trPr>
        <w:tc>
          <w:tcPr>
            <w:tcW w:w="700" w:type="dxa"/>
            <w:noWrap/>
            <w:hideMark/>
          </w:tcPr>
          <w:p w14:paraId="78D4848F"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1</w:t>
            </w:r>
          </w:p>
        </w:tc>
        <w:tc>
          <w:tcPr>
            <w:tcW w:w="3585" w:type="dxa"/>
            <w:noWrap/>
            <w:hideMark/>
          </w:tcPr>
          <w:p w14:paraId="158ED579" w14:textId="0EAB0805"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€62,940.00 </w:t>
            </w:r>
          </w:p>
        </w:tc>
      </w:tr>
      <w:tr w:rsidR="006A5CF6" w:rsidRPr="000C5DF1" w14:paraId="6EF8C135" w14:textId="77777777" w:rsidTr="00DF3640">
        <w:trPr>
          <w:trHeight w:val="315"/>
        </w:trPr>
        <w:tc>
          <w:tcPr>
            <w:tcW w:w="700" w:type="dxa"/>
            <w:noWrap/>
            <w:hideMark/>
          </w:tcPr>
          <w:p w14:paraId="56465B9F"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2</w:t>
            </w:r>
          </w:p>
        </w:tc>
        <w:tc>
          <w:tcPr>
            <w:tcW w:w="3585" w:type="dxa"/>
            <w:noWrap/>
            <w:hideMark/>
          </w:tcPr>
          <w:p w14:paraId="3B6363CF" w14:textId="525F4FE7"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€64,391.00 </w:t>
            </w:r>
          </w:p>
        </w:tc>
      </w:tr>
      <w:tr w:rsidR="006A5CF6" w:rsidRPr="000C5DF1" w14:paraId="5A61099A" w14:textId="77777777" w:rsidTr="00DF3640">
        <w:trPr>
          <w:trHeight w:val="315"/>
        </w:trPr>
        <w:tc>
          <w:tcPr>
            <w:tcW w:w="700" w:type="dxa"/>
            <w:noWrap/>
            <w:hideMark/>
          </w:tcPr>
          <w:p w14:paraId="5818F342"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3</w:t>
            </w:r>
          </w:p>
        </w:tc>
        <w:tc>
          <w:tcPr>
            <w:tcW w:w="3585" w:type="dxa"/>
            <w:noWrap/>
            <w:hideMark/>
          </w:tcPr>
          <w:p w14:paraId="32B16449" w14:textId="2D893194"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€65,878.00 </w:t>
            </w:r>
          </w:p>
        </w:tc>
      </w:tr>
      <w:tr w:rsidR="006A5CF6" w:rsidRPr="000C5DF1" w14:paraId="6E4FF340" w14:textId="77777777" w:rsidTr="00DF3640">
        <w:trPr>
          <w:trHeight w:val="315"/>
        </w:trPr>
        <w:tc>
          <w:tcPr>
            <w:tcW w:w="700" w:type="dxa"/>
            <w:noWrap/>
            <w:hideMark/>
          </w:tcPr>
          <w:p w14:paraId="57BA44EA"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4</w:t>
            </w:r>
          </w:p>
        </w:tc>
        <w:tc>
          <w:tcPr>
            <w:tcW w:w="3585" w:type="dxa"/>
            <w:noWrap/>
            <w:hideMark/>
          </w:tcPr>
          <w:p w14:paraId="5051D472" w14:textId="033FBA62"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€67,318.00 </w:t>
            </w:r>
          </w:p>
        </w:tc>
      </w:tr>
      <w:tr w:rsidR="006A5CF6" w:rsidRPr="000C5DF1" w14:paraId="1B232072" w14:textId="77777777" w:rsidTr="00DF3640">
        <w:trPr>
          <w:trHeight w:val="315"/>
        </w:trPr>
        <w:tc>
          <w:tcPr>
            <w:tcW w:w="700" w:type="dxa"/>
            <w:noWrap/>
            <w:hideMark/>
          </w:tcPr>
          <w:p w14:paraId="0C33D64A"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5</w:t>
            </w:r>
          </w:p>
        </w:tc>
        <w:tc>
          <w:tcPr>
            <w:tcW w:w="3585" w:type="dxa"/>
            <w:noWrap/>
            <w:hideMark/>
          </w:tcPr>
          <w:p w14:paraId="21502834" w14:textId="3EDDFD3F"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€68,754.00 </w:t>
            </w:r>
          </w:p>
        </w:tc>
      </w:tr>
      <w:tr w:rsidR="006A5CF6" w:rsidRPr="000C5DF1" w14:paraId="2915C65C" w14:textId="77777777" w:rsidTr="00DF3640">
        <w:trPr>
          <w:trHeight w:val="315"/>
        </w:trPr>
        <w:tc>
          <w:tcPr>
            <w:tcW w:w="700" w:type="dxa"/>
            <w:noWrap/>
            <w:hideMark/>
          </w:tcPr>
          <w:p w14:paraId="2DA068D1"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6</w:t>
            </w:r>
          </w:p>
        </w:tc>
        <w:tc>
          <w:tcPr>
            <w:tcW w:w="3585" w:type="dxa"/>
            <w:noWrap/>
            <w:hideMark/>
          </w:tcPr>
          <w:p w14:paraId="4E763D2D" w14:textId="35D347B2"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€71,215.00 *</w:t>
            </w:r>
          </w:p>
        </w:tc>
      </w:tr>
      <w:tr w:rsidR="006A5CF6" w:rsidRPr="000C5DF1" w14:paraId="77976E52" w14:textId="77777777" w:rsidTr="00DF3640">
        <w:trPr>
          <w:trHeight w:val="330"/>
        </w:trPr>
        <w:tc>
          <w:tcPr>
            <w:tcW w:w="700" w:type="dxa"/>
            <w:noWrap/>
            <w:hideMark/>
          </w:tcPr>
          <w:p w14:paraId="43677730" w14:textId="77777777" w:rsidR="006A5CF6" w:rsidRPr="000C5DF1" w:rsidRDefault="006A5CF6" w:rsidP="00DF3640">
            <w:pPr>
              <w:shd w:val="clear" w:color="auto" w:fill="FFFFFF"/>
              <w:spacing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7</w:t>
            </w:r>
          </w:p>
        </w:tc>
        <w:tc>
          <w:tcPr>
            <w:tcW w:w="3585" w:type="dxa"/>
            <w:noWrap/>
            <w:hideMark/>
          </w:tcPr>
          <w:p w14:paraId="14B82606" w14:textId="0B23F0C4" w:rsidR="006A5CF6" w:rsidRPr="000C5DF1" w:rsidRDefault="006A5CF6" w:rsidP="00DF3640">
            <w:pPr>
              <w:shd w:val="clear" w:color="auto" w:fill="FFFFFF"/>
              <w:spacing w:line="240" w:lineRule="auto"/>
              <w:contextualSpacing/>
              <w:jc w:val="both"/>
              <w:rPr>
                <w:rFonts w:ascii="Calibri" w:eastAsia="Calibri" w:hAnsi="Calibri" w:cs="Calibri"/>
                <w:b/>
                <w:bCs/>
                <w:shd w:val="clear" w:color="auto" w:fill="FFFFFF"/>
              </w:rPr>
            </w:pPr>
            <w:r w:rsidRPr="000C5DF1">
              <w:rPr>
                <w:rFonts w:ascii="Calibri" w:eastAsia="Calibri" w:hAnsi="Calibri" w:cs="Calibri"/>
                <w:b/>
                <w:bCs/>
                <w:shd w:val="clear" w:color="auto" w:fill="FFFFFF"/>
              </w:rPr>
              <w:t xml:space="preserve">    €73,690.00 **</w:t>
            </w:r>
          </w:p>
        </w:tc>
      </w:tr>
    </w:tbl>
    <w:p w14:paraId="5844205E" w14:textId="77777777" w:rsidR="00E332DA" w:rsidRDefault="00E332DA" w:rsidP="006A5CF6">
      <w:pPr>
        <w:shd w:val="clear" w:color="auto" w:fill="FFFFFF"/>
        <w:spacing w:after="0" w:line="240" w:lineRule="auto"/>
        <w:jc w:val="both"/>
        <w:rPr>
          <w:rFonts w:ascii="Calibri" w:eastAsia="Calibri" w:hAnsi="Calibri" w:cs="Calibri"/>
          <w:i/>
          <w:iCs/>
          <w:shd w:val="clear" w:color="auto" w:fill="FFFFFF"/>
        </w:rPr>
      </w:pPr>
    </w:p>
    <w:p w14:paraId="1109CD4C" w14:textId="1CB0134A" w:rsidR="006A5CF6" w:rsidRPr="000C5DF1" w:rsidRDefault="006A5CF6" w:rsidP="006A5CF6">
      <w:pPr>
        <w:shd w:val="clear" w:color="auto" w:fill="FFFFFF"/>
        <w:spacing w:after="0" w:line="240" w:lineRule="auto"/>
        <w:jc w:val="both"/>
        <w:rPr>
          <w:rFonts w:ascii="Calibri" w:eastAsia="Calibri" w:hAnsi="Calibri" w:cs="Calibri"/>
          <w:i/>
          <w:iCs/>
          <w:shd w:val="clear" w:color="auto" w:fill="FFFFFF"/>
        </w:rPr>
      </w:pPr>
      <w:r w:rsidRPr="000C5DF1">
        <w:rPr>
          <w:rFonts w:ascii="Calibri" w:eastAsia="Calibri" w:hAnsi="Calibri" w:cs="Calibri"/>
          <w:i/>
          <w:iCs/>
          <w:shd w:val="clear" w:color="auto" w:fill="FFFFFF"/>
        </w:rPr>
        <w:t xml:space="preserve">* Long Service after 3 </w:t>
      </w:r>
      <w:r w:rsidR="000C5DF1" w:rsidRPr="000C5DF1">
        <w:rPr>
          <w:rFonts w:ascii="Calibri" w:eastAsia="Calibri" w:hAnsi="Calibri" w:cs="Calibri"/>
          <w:i/>
          <w:iCs/>
          <w:shd w:val="clear" w:color="auto" w:fill="FFFFFF"/>
        </w:rPr>
        <w:t>years on</w:t>
      </w:r>
      <w:r w:rsidRPr="000C5DF1">
        <w:rPr>
          <w:rFonts w:ascii="Calibri" w:eastAsia="Calibri" w:hAnsi="Calibri" w:cs="Calibri"/>
          <w:i/>
          <w:iCs/>
          <w:shd w:val="clear" w:color="auto" w:fill="FFFFFF"/>
        </w:rPr>
        <w:t xml:space="preserve"> Point </w:t>
      </w:r>
      <w:r w:rsidR="00F058C3">
        <w:rPr>
          <w:rFonts w:ascii="Calibri" w:eastAsia="Calibri" w:hAnsi="Calibri" w:cs="Calibri"/>
          <w:i/>
          <w:iCs/>
          <w:shd w:val="clear" w:color="auto" w:fill="FFFFFF"/>
        </w:rPr>
        <w:t>5</w:t>
      </w:r>
    </w:p>
    <w:p w14:paraId="7CED2773" w14:textId="2E344EBF" w:rsidR="006A5CF6" w:rsidRDefault="006A5CF6" w:rsidP="006A5CF6">
      <w:pPr>
        <w:shd w:val="clear" w:color="auto" w:fill="FFFFFF"/>
        <w:spacing w:after="0" w:line="240" w:lineRule="auto"/>
        <w:jc w:val="both"/>
        <w:rPr>
          <w:rFonts w:ascii="Calibri" w:eastAsia="Calibri" w:hAnsi="Calibri" w:cs="Calibri"/>
          <w:i/>
          <w:iCs/>
          <w:shd w:val="clear" w:color="auto" w:fill="FFFFFF"/>
        </w:rPr>
      </w:pPr>
      <w:r w:rsidRPr="000C5DF1">
        <w:rPr>
          <w:rFonts w:ascii="Calibri" w:eastAsia="Calibri" w:hAnsi="Calibri" w:cs="Calibri"/>
          <w:i/>
          <w:iCs/>
          <w:shd w:val="clear" w:color="auto" w:fill="FFFFFF"/>
        </w:rPr>
        <w:t xml:space="preserve">** Long Service after 3 years on point </w:t>
      </w:r>
      <w:r w:rsidR="00F058C3">
        <w:rPr>
          <w:rFonts w:ascii="Calibri" w:eastAsia="Calibri" w:hAnsi="Calibri" w:cs="Calibri"/>
          <w:i/>
          <w:iCs/>
          <w:shd w:val="clear" w:color="auto" w:fill="FFFFFF"/>
        </w:rPr>
        <w:t>6</w:t>
      </w:r>
    </w:p>
    <w:p w14:paraId="5DFE3A83" w14:textId="77777777" w:rsidR="00B4539E" w:rsidRPr="000C5DF1" w:rsidRDefault="00B4539E" w:rsidP="006A5CF6">
      <w:pPr>
        <w:shd w:val="clear" w:color="auto" w:fill="FFFFFF"/>
        <w:spacing w:after="0" w:line="240" w:lineRule="auto"/>
        <w:jc w:val="both"/>
        <w:rPr>
          <w:rFonts w:ascii="Calibri" w:eastAsia="Calibri" w:hAnsi="Calibri" w:cs="Calibri"/>
          <w:i/>
          <w:iCs/>
          <w:shd w:val="clear" w:color="auto" w:fill="FFFFFF"/>
        </w:rPr>
      </w:pPr>
    </w:p>
    <w:p w14:paraId="43F86C37" w14:textId="3AA5A197" w:rsidR="006A5CF6" w:rsidRPr="000C5DF1" w:rsidRDefault="006A5CF6" w:rsidP="00DF3640">
      <w:pPr>
        <w:numPr>
          <w:ilvl w:val="0"/>
          <w:numId w:val="12"/>
        </w:numPr>
        <w:shd w:val="clear" w:color="auto" w:fill="FFFFFF"/>
        <w:spacing w:after="0"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Competitive employer pension provision after probation is passed (10% Employer contribution, 5% Employee contribution)</w:t>
      </w:r>
    </w:p>
    <w:p w14:paraId="2C65CC7A" w14:textId="48B85F92" w:rsidR="006A5CF6" w:rsidRPr="000C5DF1" w:rsidRDefault="006A5CF6" w:rsidP="00DF3640">
      <w:pPr>
        <w:numPr>
          <w:ilvl w:val="0"/>
          <w:numId w:val="12"/>
        </w:numPr>
        <w:shd w:val="clear" w:color="auto" w:fill="FFFFFF"/>
        <w:spacing w:after="0"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 xml:space="preserve">Blended Working policy </w:t>
      </w:r>
      <w:r w:rsidR="000C5DF1" w:rsidRPr="000C5DF1">
        <w:rPr>
          <w:rFonts w:ascii="Calibri" w:eastAsia="Calibri" w:hAnsi="Calibri" w:cs="Calibri"/>
          <w:shd w:val="clear" w:color="auto" w:fill="FFFFFF"/>
        </w:rPr>
        <w:t>can allow</w:t>
      </w:r>
      <w:r w:rsidRPr="000C5DF1">
        <w:rPr>
          <w:rFonts w:ascii="Calibri" w:eastAsia="Calibri" w:hAnsi="Calibri" w:cs="Calibri"/>
          <w:shd w:val="clear" w:color="auto" w:fill="FFFFFF"/>
        </w:rPr>
        <w:t xml:space="preserve"> for up to two days working from home.</w:t>
      </w:r>
    </w:p>
    <w:p w14:paraId="7DBD745B" w14:textId="74C1A310" w:rsidR="00DF3640" w:rsidRPr="000C5DF1" w:rsidRDefault="006A5CF6" w:rsidP="00DF3640">
      <w:pPr>
        <w:numPr>
          <w:ilvl w:val="0"/>
          <w:numId w:val="12"/>
        </w:numPr>
        <w:shd w:val="clear" w:color="auto" w:fill="FFFFFF"/>
        <w:spacing w:after="0" w:line="240" w:lineRule="auto"/>
        <w:contextualSpacing/>
        <w:jc w:val="both"/>
        <w:rPr>
          <w:rFonts w:ascii="Calibri" w:eastAsia="Calibri" w:hAnsi="Calibri" w:cs="Calibri"/>
          <w:shd w:val="clear" w:color="auto" w:fill="FFFFFF"/>
        </w:rPr>
      </w:pPr>
      <w:r w:rsidRPr="000C5DF1">
        <w:rPr>
          <w:rFonts w:ascii="Calibri" w:eastAsia="Calibri" w:hAnsi="Calibri" w:cs="Calibri"/>
          <w:shd w:val="clear" w:color="auto" w:fill="FFFFFF"/>
        </w:rPr>
        <w:t>A</w:t>
      </w:r>
      <w:r w:rsidR="00DF3640" w:rsidRPr="000C5DF1">
        <w:rPr>
          <w:rFonts w:ascii="Calibri" w:eastAsia="Calibri" w:hAnsi="Calibri" w:cs="Calibri"/>
          <w:shd w:val="clear" w:color="auto" w:fill="FFFFFF"/>
        </w:rPr>
        <w:t>ccess to H</w:t>
      </w:r>
      <w:r w:rsidRPr="000C5DF1">
        <w:rPr>
          <w:rFonts w:ascii="Calibri" w:eastAsia="Calibri" w:hAnsi="Calibri" w:cs="Calibri"/>
          <w:shd w:val="clear" w:color="auto" w:fill="FFFFFF"/>
        </w:rPr>
        <w:t xml:space="preserve">ospital </w:t>
      </w:r>
      <w:r w:rsidR="00DF3640" w:rsidRPr="000C5DF1">
        <w:rPr>
          <w:rFonts w:ascii="Calibri" w:eastAsia="Calibri" w:hAnsi="Calibri" w:cs="Calibri"/>
          <w:shd w:val="clear" w:color="auto" w:fill="FFFFFF"/>
        </w:rPr>
        <w:t>S</w:t>
      </w:r>
      <w:r w:rsidRPr="000C5DF1">
        <w:rPr>
          <w:rFonts w:ascii="Calibri" w:eastAsia="Calibri" w:hAnsi="Calibri" w:cs="Calibri"/>
          <w:shd w:val="clear" w:color="auto" w:fill="FFFFFF"/>
        </w:rPr>
        <w:t xml:space="preserve">aturday </w:t>
      </w:r>
      <w:r w:rsidR="00DF3640" w:rsidRPr="000C5DF1">
        <w:rPr>
          <w:rFonts w:ascii="Calibri" w:eastAsia="Calibri" w:hAnsi="Calibri" w:cs="Calibri"/>
          <w:shd w:val="clear" w:color="auto" w:fill="FFFFFF"/>
        </w:rPr>
        <w:t>F</w:t>
      </w:r>
      <w:r w:rsidRPr="000C5DF1">
        <w:rPr>
          <w:rFonts w:ascii="Calibri" w:eastAsia="Calibri" w:hAnsi="Calibri" w:cs="Calibri"/>
          <w:shd w:val="clear" w:color="auto" w:fill="FFFFFF"/>
        </w:rPr>
        <w:t>und</w:t>
      </w:r>
      <w:r w:rsidR="00DF3640" w:rsidRPr="000C5DF1">
        <w:rPr>
          <w:rFonts w:ascii="Calibri" w:eastAsia="Calibri" w:hAnsi="Calibri" w:cs="Calibri"/>
          <w:shd w:val="clear" w:color="auto" w:fill="FFFFFF"/>
        </w:rPr>
        <w:t xml:space="preserve"> low-cost health insurance</w:t>
      </w:r>
    </w:p>
    <w:p w14:paraId="6825BAF8" w14:textId="77777777" w:rsidR="00DF3640" w:rsidRDefault="00DF3640" w:rsidP="00DF3640">
      <w:pPr>
        <w:numPr>
          <w:ilvl w:val="0"/>
          <w:numId w:val="13"/>
        </w:numPr>
        <w:shd w:val="clear" w:color="auto" w:fill="FFFFFF"/>
        <w:spacing w:after="0" w:line="240" w:lineRule="auto"/>
        <w:rPr>
          <w:rFonts w:ascii="Calibri" w:eastAsia="Calibri" w:hAnsi="Calibri" w:cs="Calibri"/>
          <w:shd w:val="clear" w:color="auto" w:fill="FFFFFF"/>
        </w:rPr>
      </w:pPr>
      <w:r w:rsidRPr="000C5DF1">
        <w:rPr>
          <w:rFonts w:ascii="Calibri" w:eastAsia="Calibri" w:hAnsi="Calibri" w:cs="Calibri"/>
          <w:shd w:val="clear" w:color="auto" w:fill="FFFFFF"/>
        </w:rPr>
        <w:t>Access to Employee Assistance Programme (EAP)</w:t>
      </w:r>
    </w:p>
    <w:p w14:paraId="59308C55" w14:textId="445FC814" w:rsidR="00BF7A85" w:rsidRPr="000C5DF1" w:rsidRDefault="00BF7A85" w:rsidP="00DF3640">
      <w:pPr>
        <w:numPr>
          <w:ilvl w:val="0"/>
          <w:numId w:val="13"/>
        </w:numPr>
        <w:shd w:val="clear" w:color="auto" w:fill="FFFFFF"/>
        <w:spacing w:after="0" w:line="240" w:lineRule="auto"/>
        <w:rPr>
          <w:rFonts w:ascii="Calibri" w:eastAsia="Calibri" w:hAnsi="Calibri" w:cs="Calibri"/>
          <w:shd w:val="clear" w:color="auto" w:fill="FFFFFF"/>
        </w:rPr>
      </w:pPr>
      <w:r>
        <w:rPr>
          <w:rFonts w:ascii="Calibri" w:eastAsia="Calibri" w:hAnsi="Calibri" w:cs="Calibri"/>
          <w:shd w:val="clear" w:color="auto" w:fill="FFFFFF"/>
        </w:rPr>
        <w:t>Bike to work scheme</w:t>
      </w:r>
    </w:p>
    <w:p w14:paraId="0675AFE1" w14:textId="77777777" w:rsidR="006A5CF6" w:rsidRPr="000C5DF1" w:rsidRDefault="006A5CF6" w:rsidP="00DF3640">
      <w:pPr>
        <w:spacing w:after="0" w:line="240" w:lineRule="auto"/>
        <w:rPr>
          <w:rFonts w:ascii="Calibri" w:hAnsi="Calibri" w:cs="Calibri"/>
          <w:b/>
          <w:bCs/>
        </w:rPr>
      </w:pPr>
    </w:p>
    <w:p w14:paraId="66D19A1B" w14:textId="3011F05B" w:rsidR="006A5CF6" w:rsidRPr="000C5DF1" w:rsidRDefault="00DF3640" w:rsidP="00DF3640">
      <w:pPr>
        <w:spacing w:after="0" w:line="240" w:lineRule="auto"/>
        <w:rPr>
          <w:rFonts w:ascii="Calibri" w:hAnsi="Calibri" w:cs="Calibri"/>
          <w:b/>
          <w:bCs/>
        </w:rPr>
      </w:pPr>
      <w:r w:rsidRPr="000C5DF1">
        <w:rPr>
          <w:rFonts w:ascii="Calibri" w:hAnsi="Calibri" w:cs="Calibri"/>
          <w:b/>
          <w:bCs/>
        </w:rPr>
        <w:t>Application Proces</w:t>
      </w:r>
      <w:r w:rsidR="000C5DF1" w:rsidRPr="000C5DF1">
        <w:rPr>
          <w:rFonts w:ascii="Calibri" w:hAnsi="Calibri" w:cs="Calibri"/>
          <w:b/>
          <w:bCs/>
        </w:rPr>
        <w:t>s</w:t>
      </w:r>
    </w:p>
    <w:p w14:paraId="6D25B49D" w14:textId="77777777" w:rsidR="000C5DF1" w:rsidRPr="00E332DA" w:rsidRDefault="000C5DF1" w:rsidP="00DF3640">
      <w:pPr>
        <w:spacing w:after="0" w:line="240" w:lineRule="auto"/>
        <w:rPr>
          <w:rFonts w:ascii="Calibri" w:hAnsi="Calibri" w:cs="Calibri"/>
          <w:sz w:val="10"/>
          <w:szCs w:val="10"/>
        </w:rPr>
      </w:pPr>
    </w:p>
    <w:p w14:paraId="1432808C" w14:textId="3B3EA3FB" w:rsidR="00DF3640" w:rsidRPr="000C5DF1" w:rsidRDefault="00DF3640" w:rsidP="00DF3640">
      <w:pPr>
        <w:spacing w:after="0" w:line="240" w:lineRule="auto"/>
        <w:rPr>
          <w:rFonts w:ascii="Calibri" w:hAnsi="Calibri" w:cs="Calibri"/>
        </w:rPr>
      </w:pPr>
      <w:r w:rsidRPr="000C5DF1">
        <w:rPr>
          <w:rFonts w:ascii="Calibri" w:hAnsi="Calibri" w:cs="Calibri"/>
        </w:rPr>
        <w:t>Applicants should pay particular attention to the essential and desirable criteria in the job description, your suitability and why you are the best candidate for this post in question.</w:t>
      </w:r>
    </w:p>
    <w:p w14:paraId="2588E4F7" w14:textId="77777777" w:rsidR="006A5CF6" w:rsidRPr="00E332DA" w:rsidRDefault="006A5CF6" w:rsidP="00DF3640">
      <w:pPr>
        <w:spacing w:after="0" w:line="240" w:lineRule="auto"/>
        <w:rPr>
          <w:rFonts w:ascii="Calibri" w:hAnsi="Calibri" w:cs="Calibri"/>
          <w:sz w:val="12"/>
          <w:szCs w:val="12"/>
        </w:rPr>
      </w:pPr>
    </w:p>
    <w:p w14:paraId="5CB2A7D9" w14:textId="77777777" w:rsidR="000C5DF1" w:rsidRPr="000C5DF1" w:rsidRDefault="00DF3640" w:rsidP="00DF3640">
      <w:pPr>
        <w:spacing w:after="0" w:line="240" w:lineRule="auto"/>
        <w:rPr>
          <w:rFonts w:ascii="Calibri" w:hAnsi="Calibri" w:cs="Calibri"/>
        </w:rPr>
      </w:pPr>
      <w:r w:rsidRPr="000C5DF1">
        <w:rPr>
          <w:rFonts w:ascii="Calibri" w:hAnsi="Calibri" w:cs="Calibri"/>
        </w:rPr>
        <w:t xml:space="preserve">Please send an up-to-date detailed CV (no more than </w:t>
      </w:r>
      <w:r w:rsidR="000C5DF1" w:rsidRPr="000C5DF1">
        <w:rPr>
          <w:rFonts w:ascii="Calibri" w:hAnsi="Calibri" w:cs="Calibri"/>
        </w:rPr>
        <w:t>3</w:t>
      </w:r>
      <w:r w:rsidRPr="000C5DF1">
        <w:rPr>
          <w:rFonts w:ascii="Calibri" w:hAnsi="Calibri" w:cs="Calibri"/>
        </w:rPr>
        <w:t xml:space="preserve"> pages) which will include the name and contact details of two references, plus a one-page cover letter which will clearly outline how you meet the specific criteria relating to this role. </w:t>
      </w:r>
    </w:p>
    <w:p w14:paraId="7F67A328" w14:textId="77777777" w:rsidR="000C5DF1" w:rsidRPr="00D45D4B" w:rsidRDefault="000C5DF1" w:rsidP="00DF3640">
      <w:pPr>
        <w:spacing w:after="0" w:line="240" w:lineRule="auto"/>
        <w:rPr>
          <w:rFonts w:ascii="Calibri" w:hAnsi="Calibri" w:cs="Calibri"/>
          <w:sz w:val="16"/>
          <w:szCs w:val="16"/>
        </w:rPr>
      </w:pPr>
    </w:p>
    <w:p w14:paraId="68CC4D57" w14:textId="29654977" w:rsidR="000C5DF1" w:rsidRPr="000C5DF1" w:rsidRDefault="00DF3640" w:rsidP="00DF3640">
      <w:pPr>
        <w:spacing w:after="0" w:line="240" w:lineRule="auto"/>
        <w:rPr>
          <w:rFonts w:ascii="Calibri" w:hAnsi="Calibri" w:cs="Calibri"/>
          <w:i/>
          <w:iCs/>
        </w:rPr>
      </w:pPr>
      <w:r w:rsidRPr="000C5DF1">
        <w:rPr>
          <w:rFonts w:ascii="Calibri" w:hAnsi="Calibri" w:cs="Calibri"/>
          <w:i/>
          <w:iCs/>
        </w:rPr>
        <w:t>NOTE: no contact will be made with referees before a job offer is made.</w:t>
      </w:r>
    </w:p>
    <w:p w14:paraId="6021BD6A" w14:textId="77777777" w:rsidR="000C5DF1" w:rsidRPr="00D45D4B" w:rsidRDefault="000C5DF1" w:rsidP="00DF3640">
      <w:pPr>
        <w:spacing w:after="0" w:line="240" w:lineRule="auto"/>
        <w:rPr>
          <w:rFonts w:ascii="Calibri" w:hAnsi="Calibri" w:cs="Calibri"/>
          <w:sz w:val="14"/>
          <w:szCs w:val="14"/>
        </w:rPr>
      </w:pPr>
    </w:p>
    <w:p w14:paraId="7EB47FCD" w14:textId="1F48AD4F" w:rsidR="000C5DF1" w:rsidRDefault="000C5DF1" w:rsidP="000C5DF1">
      <w:pPr>
        <w:spacing w:after="0" w:line="240" w:lineRule="auto"/>
        <w:rPr>
          <w:rFonts w:ascii="Calibri" w:hAnsi="Calibri" w:cs="Calibri"/>
          <w:lang w:val="en-GB"/>
        </w:rPr>
      </w:pPr>
      <w:r w:rsidRPr="000C5DF1">
        <w:rPr>
          <w:rFonts w:ascii="Calibri" w:hAnsi="Calibri" w:cs="Calibri"/>
          <w:b/>
          <w:bCs/>
          <w:lang w:val="en-GB"/>
        </w:rPr>
        <w:t>Email your CV and cover letter, with the reference TDATF</w:t>
      </w:r>
      <w:r w:rsidRPr="000C5DF1">
        <w:rPr>
          <w:rFonts w:ascii="Calibri" w:hAnsi="Calibri" w:cs="Calibri"/>
          <w:b/>
          <w:lang w:val="en-GB"/>
        </w:rPr>
        <w:t xml:space="preserve"> Coordinator </w:t>
      </w:r>
      <w:r w:rsidRPr="000C5DF1">
        <w:rPr>
          <w:rFonts w:ascii="Calibri" w:hAnsi="Calibri" w:cs="Calibri"/>
          <w:b/>
          <w:bCs/>
          <w:lang w:val="en-GB"/>
        </w:rPr>
        <w:t>Ref: 2</w:t>
      </w:r>
      <w:r w:rsidR="00DC7174">
        <w:rPr>
          <w:rFonts w:ascii="Calibri" w:hAnsi="Calibri" w:cs="Calibri"/>
          <w:b/>
          <w:bCs/>
          <w:lang w:val="en-GB"/>
        </w:rPr>
        <w:t>22</w:t>
      </w:r>
      <w:r w:rsidRPr="000C5DF1">
        <w:rPr>
          <w:rFonts w:ascii="Calibri" w:hAnsi="Calibri" w:cs="Calibri"/>
          <w:b/>
          <w:bCs/>
          <w:lang w:val="en-GB"/>
        </w:rPr>
        <w:t>/202</w:t>
      </w:r>
      <w:r w:rsidR="00DC7174">
        <w:rPr>
          <w:rFonts w:ascii="Calibri" w:hAnsi="Calibri" w:cs="Calibri"/>
          <w:b/>
          <w:bCs/>
          <w:lang w:val="en-GB"/>
        </w:rPr>
        <w:t>6</w:t>
      </w:r>
      <w:r w:rsidRPr="000C5DF1">
        <w:rPr>
          <w:rFonts w:ascii="Calibri" w:hAnsi="Calibri" w:cs="Calibri"/>
          <w:b/>
          <w:bCs/>
          <w:lang w:val="en-GB"/>
        </w:rPr>
        <w:t> </w:t>
      </w:r>
      <w:r w:rsidRPr="000C5DF1">
        <w:rPr>
          <w:rFonts w:ascii="Calibri" w:hAnsi="Calibri" w:cs="Calibri"/>
          <w:lang w:val="en-GB"/>
        </w:rPr>
        <w:t>to:</w:t>
      </w:r>
    </w:p>
    <w:p w14:paraId="243B0AD1" w14:textId="77777777" w:rsidR="00D45D4B" w:rsidRPr="00D45D4B" w:rsidRDefault="00D45D4B" w:rsidP="000C5DF1">
      <w:pPr>
        <w:spacing w:after="0" w:line="240" w:lineRule="auto"/>
        <w:rPr>
          <w:rFonts w:ascii="Calibri" w:hAnsi="Calibri" w:cs="Calibri"/>
          <w:b/>
          <w:sz w:val="12"/>
          <w:szCs w:val="12"/>
          <w:lang w:val="en-GB"/>
        </w:rPr>
      </w:pPr>
    </w:p>
    <w:p w14:paraId="740A4214" w14:textId="3A785C2A" w:rsidR="000C5DF1" w:rsidRPr="000C5DF1" w:rsidRDefault="000C5DF1" w:rsidP="000C5DF1">
      <w:pPr>
        <w:spacing w:after="0" w:line="240" w:lineRule="auto"/>
        <w:rPr>
          <w:rFonts w:ascii="Calibri" w:hAnsi="Calibri" w:cs="Calibri"/>
          <w:b/>
          <w:bCs/>
          <w:lang w:val="en-GB"/>
        </w:rPr>
      </w:pPr>
      <w:hyperlink r:id="rId12" w:history="1">
        <w:r w:rsidRPr="000C5DF1">
          <w:rPr>
            <w:rStyle w:val="Hyperlink"/>
            <w:rFonts w:ascii="Calibri" w:hAnsi="Calibri" w:cs="Calibri"/>
            <w:b/>
            <w:bCs/>
            <w:lang w:val="en-GB"/>
          </w:rPr>
          <w:t>jobs@sdcpartnership.ie</w:t>
        </w:r>
      </w:hyperlink>
      <w:r w:rsidRPr="000C5DF1">
        <w:rPr>
          <w:rFonts w:ascii="Calibri" w:hAnsi="Calibri" w:cs="Calibri"/>
          <w:b/>
          <w:bCs/>
          <w:lang w:val="en-GB"/>
        </w:rPr>
        <w:t xml:space="preserve"> and cc </w:t>
      </w:r>
      <w:hyperlink r:id="rId13" w:history="1">
        <w:r w:rsidRPr="000C5DF1">
          <w:rPr>
            <w:rStyle w:val="Hyperlink"/>
            <w:rFonts w:ascii="Calibri" w:hAnsi="Calibri" w:cs="Calibri"/>
            <w:b/>
            <w:bCs/>
            <w:lang w:val="en-GB"/>
          </w:rPr>
          <w:t>simon.monds@sdcpartnership.ie</w:t>
        </w:r>
      </w:hyperlink>
      <w:r w:rsidRPr="000C5DF1">
        <w:rPr>
          <w:rFonts w:ascii="Calibri" w:hAnsi="Calibri" w:cs="Calibri"/>
          <w:b/>
          <w:bCs/>
          <w:lang w:val="en-GB"/>
        </w:rPr>
        <w:t xml:space="preserve"> </w:t>
      </w:r>
    </w:p>
    <w:p w14:paraId="2BCFA291" w14:textId="77777777" w:rsidR="000C5DF1" w:rsidRDefault="000C5DF1" w:rsidP="000C5DF1">
      <w:pPr>
        <w:spacing w:after="0" w:line="240" w:lineRule="auto"/>
        <w:rPr>
          <w:rFonts w:ascii="Calibri" w:hAnsi="Calibri" w:cs="Calibri"/>
          <w:b/>
          <w:bCs/>
          <w:lang w:val="en-GB"/>
        </w:rPr>
      </w:pPr>
    </w:p>
    <w:p w14:paraId="3CF7BDAF" w14:textId="032525EF" w:rsidR="000C5DF1" w:rsidRPr="000C5DF1" w:rsidRDefault="000C5DF1" w:rsidP="000C5DF1">
      <w:pPr>
        <w:spacing w:after="0" w:line="240" w:lineRule="auto"/>
        <w:rPr>
          <w:rFonts w:ascii="Calibri" w:hAnsi="Calibri" w:cs="Calibri"/>
        </w:rPr>
      </w:pPr>
      <w:r w:rsidRPr="000C5DF1">
        <w:rPr>
          <w:rFonts w:ascii="Calibri" w:hAnsi="Calibri" w:cs="Calibri"/>
        </w:rPr>
        <w:t>Closing date for receipt of applications: </w:t>
      </w:r>
      <w:r>
        <w:rPr>
          <w:rFonts w:ascii="Calibri" w:hAnsi="Calibri" w:cs="Calibri"/>
          <w:b/>
          <w:bCs/>
        </w:rPr>
        <w:t>Wednesday, 1</w:t>
      </w:r>
      <w:r w:rsidR="00B62929">
        <w:rPr>
          <w:rFonts w:ascii="Calibri" w:hAnsi="Calibri" w:cs="Calibri"/>
          <w:b/>
          <w:bCs/>
        </w:rPr>
        <w:t>1</w:t>
      </w:r>
      <w:r w:rsidRPr="000C5DF1">
        <w:rPr>
          <w:rFonts w:ascii="Calibri" w:hAnsi="Calibri" w:cs="Calibri"/>
          <w:b/>
          <w:bCs/>
          <w:vertAlign w:val="superscript"/>
        </w:rPr>
        <w:t>th</w:t>
      </w:r>
      <w:r>
        <w:rPr>
          <w:rFonts w:ascii="Calibri" w:hAnsi="Calibri" w:cs="Calibri"/>
          <w:b/>
          <w:bCs/>
        </w:rPr>
        <w:t xml:space="preserve"> February </w:t>
      </w:r>
      <w:r w:rsidRPr="000C5DF1">
        <w:rPr>
          <w:rFonts w:ascii="Calibri" w:hAnsi="Calibri" w:cs="Calibri"/>
          <w:b/>
          <w:bCs/>
        </w:rPr>
        <w:t>at 5pm.</w:t>
      </w:r>
      <w:r w:rsidRPr="000C5DF1">
        <w:rPr>
          <w:rFonts w:ascii="Calibri" w:hAnsi="Calibri" w:cs="Calibri"/>
        </w:rPr>
        <w:t xml:space="preserve"> </w:t>
      </w:r>
    </w:p>
    <w:p w14:paraId="0734C808" w14:textId="77777777" w:rsidR="000C5DF1" w:rsidRPr="000C5DF1" w:rsidRDefault="000C5DF1" w:rsidP="000C5DF1">
      <w:pPr>
        <w:spacing w:after="0" w:line="240" w:lineRule="auto"/>
        <w:rPr>
          <w:rFonts w:ascii="Calibri" w:hAnsi="Calibri" w:cs="Calibri"/>
          <w:lang w:val="en-GB"/>
        </w:rPr>
      </w:pPr>
      <w:r w:rsidRPr="000C5DF1">
        <w:rPr>
          <w:rFonts w:ascii="Calibri" w:hAnsi="Calibri" w:cs="Calibri"/>
          <w:lang w:val="en-GB"/>
        </w:rPr>
        <w:t>Note no late applications will be accepted.</w:t>
      </w:r>
    </w:p>
    <w:p w14:paraId="2BD839A4" w14:textId="77777777" w:rsidR="000C5DF1" w:rsidRDefault="000C5DF1" w:rsidP="000C5DF1">
      <w:pPr>
        <w:spacing w:after="0" w:line="240" w:lineRule="auto"/>
        <w:rPr>
          <w:rFonts w:ascii="Calibri" w:hAnsi="Calibri" w:cs="Calibri"/>
          <w:b/>
          <w:bCs/>
          <w:i/>
          <w:iCs/>
          <w:lang w:val="en-GB"/>
        </w:rPr>
      </w:pPr>
    </w:p>
    <w:p w14:paraId="75334FB2" w14:textId="2550316D" w:rsidR="00DF3640" w:rsidRPr="00B4539E" w:rsidRDefault="000C5DF1" w:rsidP="00DF3640">
      <w:pPr>
        <w:spacing w:after="0" w:line="240" w:lineRule="auto"/>
        <w:rPr>
          <w:rFonts w:ascii="Calibri" w:hAnsi="Calibri" w:cs="Calibri"/>
          <w:b/>
          <w:bCs/>
          <w:lang w:val="en-GB"/>
        </w:rPr>
      </w:pPr>
      <w:r w:rsidRPr="000C5DF1">
        <w:rPr>
          <w:rFonts w:ascii="Calibri" w:hAnsi="Calibri" w:cs="Calibri"/>
          <w:b/>
          <w:bCs/>
          <w:i/>
          <w:iCs/>
          <w:lang w:val="en-GB"/>
        </w:rPr>
        <w:t>South Dublin County Partnership is an Equal Opportunities Employer.</w:t>
      </w:r>
    </w:p>
    <w:sectPr w:rsidR="00DF3640" w:rsidRPr="00B4539E" w:rsidSect="008F595F">
      <w:headerReference w:type="default" r:id="rId14"/>
      <w:footerReference w:type="default" r:id="rId15"/>
      <w:pgSz w:w="11906" w:h="16838"/>
      <w:pgMar w:top="284" w:right="1077" w:bottom="964"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CBE7" w14:textId="77777777" w:rsidR="00C6580C" w:rsidRDefault="00C6580C" w:rsidP="003607FF">
      <w:pPr>
        <w:spacing w:after="0" w:line="240" w:lineRule="auto"/>
      </w:pPr>
      <w:r>
        <w:separator/>
      </w:r>
    </w:p>
  </w:endnote>
  <w:endnote w:type="continuationSeparator" w:id="0">
    <w:p w14:paraId="5C2695DC" w14:textId="77777777" w:rsidR="00C6580C" w:rsidRDefault="00C6580C" w:rsidP="0036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8385" w14:textId="77777777" w:rsidR="00FD12F6" w:rsidRDefault="00FD12F6">
    <w:pPr>
      <w:pStyle w:val="Footer"/>
      <w:tabs>
        <w:tab w:val="left" w:pos="5790"/>
        <w:tab w:val="left" w:pos="6375"/>
      </w:tabs>
      <w:rPr>
        <w:sz w:val="16"/>
        <w:szCs w:val="16"/>
      </w:rPr>
    </w:pPr>
    <w:r>
      <w:rPr>
        <w:noProof/>
        <w:lang w:eastAsia="en-IE"/>
      </w:rPr>
      <w:drawing>
        <wp:anchor distT="0" distB="0" distL="114300" distR="114300" simplePos="0" relativeHeight="251658247" behindDoc="0" locked="0" layoutInCell="1" allowOverlap="1" wp14:anchorId="2CE8EAC6" wp14:editId="7E836DB1">
          <wp:simplePos x="0" y="0"/>
          <wp:positionH relativeFrom="margin">
            <wp:posOffset>8429625</wp:posOffset>
          </wp:positionH>
          <wp:positionV relativeFrom="margin">
            <wp:posOffset>7381875</wp:posOffset>
          </wp:positionV>
          <wp:extent cx="1917065" cy="1695450"/>
          <wp:effectExtent l="19050" t="0" r="6985" b="0"/>
          <wp:wrapSquare wrapText="bothSides"/>
          <wp:docPr id="1952945089" name="Picture 1415968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r="2794"/>
                  <a:stretch>
                    <a:fillRect/>
                  </a:stretch>
                </pic:blipFill>
                <pic:spPr bwMode="auto">
                  <a:xfrm>
                    <a:off x="0" y="0"/>
                    <a:ext cx="1917065" cy="1695450"/>
                  </a:xfrm>
                  <a:prstGeom prst="rect">
                    <a:avLst/>
                  </a:prstGeom>
                </pic:spPr>
              </pic:pic>
            </a:graphicData>
          </a:graphic>
        </wp:anchor>
      </w:drawing>
    </w:r>
    <w:r>
      <w:rPr>
        <w:noProof/>
        <w:lang w:eastAsia="en-IE"/>
      </w:rPr>
      <w:drawing>
        <wp:anchor distT="0" distB="0" distL="114300" distR="114300" simplePos="0" relativeHeight="251658246" behindDoc="0" locked="0" layoutInCell="1" allowOverlap="1" wp14:anchorId="13140F3F" wp14:editId="0399A5C1">
          <wp:simplePos x="0" y="0"/>
          <wp:positionH relativeFrom="margin">
            <wp:posOffset>8067675</wp:posOffset>
          </wp:positionH>
          <wp:positionV relativeFrom="margin">
            <wp:posOffset>7800975</wp:posOffset>
          </wp:positionV>
          <wp:extent cx="1724025" cy="1571625"/>
          <wp:effectExtent l="19050" t="0" r="0" b="0"/>
          <wp:wrapSquare wrapText="bothSides"/>
          <wp:docPr id="1063658081" name="Picture 59879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r="-5285" b="-4951"/>
                  <a:stretch>
                    <a:fillRect/>
                  </a:stretch>
                </pic:blipFill>
                <pic:spPr bwMode="auto">
                  <a:xfrm>
                    <a:off x="0" y="0"/>
                    <a:ext cx="1724025" cy="1571625"/>
                  </a:xfrm>
                  <a:prstGeom prst="rect">
                    <a:avLst/>
                  </a:prstGeom>
                </pic:spPr>
              </pic:pic>
            </a:graphicData>
          </a:graphic>
        </wp:anchor>
      </w:drawing>
    </w:r>
    <w:r>
      <w:rPr>
        <w:noProof/>
        <w:lang w:eastAsia="en-IE"/>
      </w:rPr>
      <w:drawing>
        <wp:anchor distT="0" distB="0" distL="114300" distR="114300" simplePos="0" relativeHeight="251658245" behindDoc="0" locked="0" layoutInCell="1" allowOverlap="1" wp14:anchorId="387883A1" wp14:editId="025E78E8">
          <wp:simplePos x="0" y="0"/>
          <wp:positionH relativeFrom="column">
            <wp:posOffset>9629775</wp:posOffset>
          </wp:positionH>
          <wp:positionV relativeFrom="paragraph">
            <wp:posOffset>-1157605</wp:posOffset>
          </wp:positionV>
          <wp:extent cx="3876675" cy="790575"/>
          <wp:effectExtent l="19050" t="0" r="9525" b="0"/>
          <wp:wrapNone/>
          <wp:docPr id="1639704248" name="Picture 2109685774" descr="\\10.120.168.17\tpusers\kay.oconno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cstate="print"/>
                  <a:srcRect t="54776" r="56225" b="-77"/>
                  <a:stretch>
                    <a:fillRect/>
                  </a:stretch>
                </pic:blipFill>
                <pic:spPr bwMode="auto">
                  <a:xfrm>
                    <a:off x="0" y="0"/>
                    <a:ext cx="3876675" cy="790575"/>
                  </a:xfrm>
                  <a:prstGeom prst="rect">
                    <a:avLst/>
                  </a:prstGeom>
                </pic:spPr>
              </pic:pic>
            </a:graphicData>
          </a:graphic>
        </wp:anchor>
      </w:drawing>
    </w:r>
    <w:r>
      <w:rPr>
        <w:noProof/>
        <w:lang w:eastAsia="en-IE"/>
      </w:rPr>
      <w:drawing>
        <wp:anchor distT="0" distB="0" distL="114300" distR="114300" simplePos="0" relativeHeight="251658240" behindDoc="0" locked="0" layoutInCell="1" allowOverlap="1" wp14:anchorId="7D50FF58" wp14:editId="2760D37A">
          <wp:simplePos x="0" y="0"/>
          <wp:positionH relativeFrom="column">
            <wp:posOffset>9201150</wp:posOffset>
          </wp:positionH>
          <wp:positionV relativeFrom="paragraph">
            <wp:posOffset>-1242695</wp:posOffset>
          </wp:positionV>
          <wp:extent cx="3876675" cy="790575"/>
          <wp:effectExtent l="19050" t="0" r="9525" b="0"/>
          <wp:wrapNone/>
          <wp:docPr id="202776848" name="Picture 1491948528" descr="\\10.120.168.17\tpusers\kay.oconno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cstate="print"/>
                  <a:srcRect t="54776" r="56225" b="-77"/>
                  <a:stretch>
                    <a:fillRect/>
                  </a:stretch>
                </pic:blipFill>
                <pic:spPr bwMode="auto">
                  <a:xfrm>
                    <a:off x="0" y="0"/>
                    <a:ext cx="3876675" cy="790575"/>
                  </a:xfrm>
                  <a:prstGeom prst="rect">
                    <a:avLst/>
                  </a:prstGeom>
                </pic:spPr>
              </pic:pic>
            </a:graphicData>
          </a:graphic>
        </wp:anchor>
      </w:drawing>
    </w:r>
    <w:r>
      <w:rPr>
        <w:noProof/>
        <w:lang w:eastAsia="en-IE"/>
      </w:rPr>
      <w:drawing>
        <wp:anchor distT="0" distB="0" distL="114300" distR="114300" simplePos="0" relativeHeight="251658244" behindDoc="0" locked="0" layoutInCell="1" allowOverlap="1" wp14:anchorId="489DA724" wp14:editId="6321F647">
          <wp:simplePos x="0" y="0"/>
          <wp:positionH relativeFrom="column">
            <wp:posOffset>8220075</wp:posOffset>
          </wp:positionH>
          <wp:positionV relativeFrom="paragraph">
            <wp:posOffset>-1239520</wp:posOffset>
          </wp:positionV>
          <wp:extent cx="2209800" cy="1704975"/>
          <wp:effectExtent l="19050" t="0" r="0" b="0"/>
          <wp:wrapNone/>
          <wp:docPr id="1131149634" name="Picture 75006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2209800" cy="1704975"/>
                  </a:xfrm>
                  <a:prstGeom prst="rect">
                    <a:avLst/>
                  </a:prstGeom>
                </pic:spPr>
              </pic:pic>
            </a:graphicData>
          </a:graphic>
        </wp:anchor>
      </w:drawing>
    </w:r>
    <w:r>
      <w:rPr>
        <w:noProof/>
        <w:lang w:eastAsia="en-IE"/>
      </w:rPr>
      <w:drawing>
        <wp:anchor distT="0" distB="0" distL="114300" distR="114300" simplePos="0" relativeHeight="251658242" behindDoc="0" locked="0" layoutInCell="1" allowOverlap="1" wp14:anchorId="28F1F8B5" wp14:editId="65DEF558">
          <wp:simplePos x="0" y="0"/>
          <wp:positionH relativeFrom="column">
            <wp:posOffset>8143875</wp:posOffset>
          </wp:positionH>
          <wp:positionV relativeFrom="paragraph">
            <wp:posOffset>-1001395</wp:posOffset>
          </wp:positionV>
          <wp:extent cx="2393950" cy="1466850"/>
          <wp:effectExtent l="19050" t="0" r="6350" b="0"/>
          <wp:wrapNone/>
          <wp:docPr id="435433439" name="Picture 125261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l="2341" t="26984" r="8696" b="8333"/>
                  <a:stretch>
                    <a:fillRect/>
                  </a:stretch>
                </pic:blipFill>
                <pic:spPr bwMode="auto">
                  <a:xfrm>
                    <a:off x="0" y="0"/>
                    <a:ext cx="2393950" cy="1466850"/>
                  </a:xfrm>
                  <a:prstGeom prst="rect">
                    <a:avLst/>
                  </a:prstGeom>
                </pic:spPr>
              </pic:pic>
            </a:graphicData>
          </a:graphic>
        </wp:anchor>
      </w:drawing>
    </w:r>
    <w:r>
      <w:rPr>
        <w:sz w:val="16"/>
        <w:szCs w:val="16"/>
      </w:rPr>
      <w:tab/>
    </w:r>
    <w:r>
      <w:rPr>
        <w:sz w:val="16"/>
        <w:szCs w:val="16"/>
      </w:rPr>
      <w:tab/>
      <w:t xml:space="preserve">       </w:t>
    </w:r>
    <w:r>
      <w:rPr>
        <w:sz w:val="16"/>
        <w:szCs w:val="16"/>
      </w:rPr>
      <w:tab/>
    </w:r>
    <w:r>
      <w:rPr>
        <w:sz w:val="16"/>
        <w:szCs w:val="16"/>
      </w:rPr>
      <w:tab/>
    </w:r>
    <w:r>
      <w:rPr>
        <w:sz w:val="16"/>
        <w:szCs w:val="16"/>
      </w:rPr>
      <w:tab/>
    </w:r>
  </w:p>
  <w:p w14:paraId="30694CF3" w14:textId="304E0DC1" w:rsidR="00FD12F6" w:rsidRDefault="00FD12F6">
    <w:pPr>
      <w:pStyle w:val="Footer"/>
      <w:tabs>
        <w:tab w:val="left" w:pos="1890"/>
        <w:tab w:val="left" w:pos="5790"/>
        <w:tab w:val="left" w:pos="6375"/>
        <w:tab w:val="left" w:pos="7125"/>
      </w:tabs>
      <w:rPr>
        <w:sz w:val="16"/>
        <w:szCs w:val="16"/>
      </w:rPr>
    </w:pPr>
    <w:r>
      <w:rPr>
        <w:sz w:val="16"/>
        <w:szCs w:val="16"/>
      </w:rPr>
      <w:tab/>
    </w:r>
    <w:r>
      <w:rPr>
        <w:sz w:val="16"/>
        <w:szCs w:val="16"/>
      </w:rPr>
      <w:tab/>
      <w:t xml:space="preserve">                                                                       </w:t>
    </w:r>
  </w:p>
  <w:p w14:paraId="52B9D2A1" w14:textId="77777777" w:rsidR="00FD12F6" w:rsidRDefault="00FD12F6">
    <w:pPr>
      <w:pStyle w:val="Footer"/>
      <w:tabs>
        <w:tab w:val="clear" w:pos="4513"/>
        <w:tab w:val="clear" w:pos="9026"/>
        <w:tab w:val="left" w:pos="720"/>
        <w:tab w:val="left" w:pos="1440"/>
        <w:tab w:val="left" w:pos="2160"/>
        <w:tab w:val="left" w:pos="2880"/>
        <w:tab w:val="left" w:pos="3600"/>
        <w:tab w:val="left" w:pos="4320"/>
        <w:tab w:val="left" w:pos="5040"/>
        <w:tab w:val="left" w:pos="5760"/>
      </w:tabs>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3DD247D9" w14:textId="03D64F83" w:rsidR="00FD12F6" w:rsidRDefault="00FD12F6">
    <w:pPr>
      <w:pStyle w:val="Footer"/>
      <w:tabs>
        <w:tab w:val="clear" w:pos="4513"/>
        <w:tab w:val="clear" w:pos="9026"/>
        <w:tab w:val="left" w:pos="720"/>
        <w:tab w:val="left" w:pos="1440"/>
        <w:tab w:val="left" w:pos="2160"/>
        <w:tab w:val="left" w:pos="2880"/>
        <w:tab w:val="left" w:pos="3600"/>
        <w:tab w:val="left" w:pos="4320"/>
        <w:tab w:val="left" w:pos="5040"/>
        <w:tab w:val="left" w:pos="5760"/>
      </w:tabs>
      <w:rPr>
        <w:sz w:val="16"/>
        <w:szCs w:val="16"/>
      </w:rPr>
    </w:pPr>
    <w:r>
      <w:rPr>
        <w:sz w:val="16"/>
        <w:szCs w:val="16"/>
      </w:rPr>
      <w:t xml:space="preserve">                                                    </w:t>
    </w:r>
  </w:p>
  <w:p w14:paraId="471B361C" w14:textId="77777777" w:rsidR="00FD12F6" w:rsidRDefault="00FD12F6">
    <w:pPr>
      <w:tabs>
        <w:tab w:val="left" w:pos="7545"/>
        <w:tab w:val="left" w:pos="7576"/>
      </w:tabs>
      <w:ind w:left="7200"/>
      <w:rPr>
        <w:noProof/>
        <w:lang w:eastAsia="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3B5B" w14:textId="77777777" w:rsidR="00C6580C" w:rsidRDefault="00C6580C" w:rsidP="003607FF">
      <w:pPr>
        <w:spacing w:after="0" w:line="240" w:lineRule="auto"/>
      </w:pPr>
      <w:r>
        <w:separator/>
      </w:r>
    </w:p>
  </w:footnote>
  <w:footnote w:type="continuationSeparator" w:id="0">
    <w:p w14:paraId="586763C6" w14:textId="77777777" w:rsidR="00C6580C" w:rsidRDefault="00C6580C" w:rsidP="0036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0D1C" w14:textId="11A77231" w:rsidR="00FD12F6" w:rsidRDefault="006A5CF6">
    <w:pPr>
      <w:rPr>
        <w:b/>
      </w:rPr>
    </w:pPr>
    <w:r>
      <w:rPr>
        <w:noProof/>
      </w:rPr>
      <w:drawing>
        <wp:inline distT="0" distB="0" distL="0" distR="0" wp14:anchorId="50714A91" wp14:editId="25466D3A">
          <wp:extent cx="1173480" cy="1173480"/>
          <wp:effectExtent l="0" t="0" r="7620" b="7620"/>
          <wp:docPr id="1" name="Picture 1" descr="A round white and orang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ound white and orange logo with black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r w:rsidR="00FD12F6">
      <w:rPr>
        <w:noProof/>
        <w:lang w:eastAsia="en-IE"/>
      </w:rPr>
      <w:drawing>
        <wp:anchor distT="0" distB="0" distL="114300" distR="114300" simplePos="0" relativeHeight="251658241" behindDoc="0" locked="0" layoutInCell="1" allowOverlap="1" wp14:anchorId="7F3E3D0F" wp14:editId="68AEB427">
          <wp:simplePos x="0" y="0"/>
          <wp:positionH relativeFrom="column">
            <wp:posOffset>10429875</wp:posOffset>
          </wp:positionH>
          <wp:positionV relativeFrom="paragraph">
            <wp:posOffset>3046095</wp:posOffset>
          </wp:positionV>
          <wp:extent cx="2486025" cy="904875"/>
          <wp:effectExtent l="19050" t="0" r="9525" b="0"/>
          <wp:wrapNone/>
          <wp:docPr id="298723154" name="Picture 159549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l="9670" t="21856" r="66974" b="66859"/>
                  <a:stretch>
                    <a:fillRect/>
                  </a:stretch>
                </pic:blipFill>
                <pic:spPr bwMode="auto">
                  <a:xfrm>
                    <a:off x="0" y="0"/>
                    <a:ext cx="2486025" cy="904875"/>
                  </a:xfrm>
                  <a:prstGeom prst="rect">
                    <a:avLst/>
                  </a:prstGeom>
                </pic:spPr>
              </pic:pic>
            </a:graphicData>
          </a:graphic>
        </wp:anchor>
      </w:drawing>
    </w:r>
    <w:r w:rsidR="00FD12F6">
      <w:rPr>
        <w:noProof/>
        <w:lang w:eastAsia="en-IE"/>
      </w:rPr>
      <w:drawing>
        <wp:anchor distT="0" distB="0" distL="114300" distR="114300" simplePos="0" relativeHeight="251658243" behindDoc="0" locked="0" layoutInCell="1" allowOverlap="1" wp14:anchorId="126C0F59" wp14:editId="56957C6F">
          <wp:simplePos x="0" y="0"/>
          <wp:positionH relativeFrom="column">
            <wp:posOffset>8067675</wp:posOffset>
          </wp:positionH>
          <wp:positionV relativeFrom="paragraph">
            <wp:posOffset>683895</wp:posOffset>
          </wp:positionV>
          <wp:extent cx="3876675" cy="876300"/>
          <wp:effectExtent l="19050" t="0" r="9525" b="0"/>
          <wp:wrapNone/>
          <wp:docPr id="476476531" name="Picture 153013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l="51581" t="21856" r="7576" b="66990"/>
                  <a:stretch>
                    <a:fillRect/>
                  </a:stretch>
                </pic:blipFill>
                <pic:spPr bwMode="auto">
                  <a:xfrm>
                    <a:off x="0" y="0"/>
                    <a:ext cx="3876675" cy="876300"/>
                  </a:xfrm>
                  <a:prstGeom prst="rect">
                    <a:avLst/>
                  </a:prstGeom>
                </pic:spPr>
              </pic:pic>
            </a:graphicData>
          </a:graphic>
        </wp:anchor>
      </w:drawing>
    </w:r>
    <w:r>
      <w:rPr>
        <w:b/>
      </w:rPr>
      <w:tab/>
    </w:r>
    <w:r>
      <w:rPr>
        <w:b/>
      </w:rPr>
      <w:tab/>
    </w:r>
    <w:r>
      <w:rPr>
        <w:b/>
      </w:rPr>
      <w:tab/>
    </w:r>
    <w:r>
      <w:rPr>
        <w:b/>
      </w:rPr>
      <w:tab/>
    </w:r>
    <w:r>
      <w:rPr>
        <w:b/>
      </w:rPr>
      <w:tab/>
    </w:r>
    <w:r>
      <w:rPr>
        <w:b/>
      </w:rPr>
      <w:tab/>
    </w:r>
    <w:r w:rsidR="003607FF">
      <w:rPr>
        <w:noProof/>
      </w:rPr>
      <w:drawing>
        <wp:inline distT="0" distB="0" distL="0" distR="0" wp14:anchorId="79350292" wp14:editId="029A5131">
          <wp:extent cx="1866900" cy="1127760"/>
          <wp:effectExtent l="0" t="0" r="0" b="0"/>
          <wp:docPr id="1071691324" name="Picture 3" descr="A company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company logo with colorful triangle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01A"/>
    <w:multiLevelType w:val="multilevel"/>
    <w:tmpl w:val="C88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2384"/>
    <w:multiLevelType w:val="multilevel"/>
    <w:tmpl w:val="F148E4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E4175"/>
    <w:multiLevelType w:val="multilevel"/>
    <w:tmpl w:val="A96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50BD2"/>
    <w:multiLevelType w:val="multilevel"/>
    <w:tmpl w:val="564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914EE"/>
    <w:multiLevelType w:val="multilevel"/>
    <w:tmpl w:val="2FA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B1401"/>
    <w:multiLevelType w:val="multilevel"/>
    <w:tmpl w:val="F148E4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F5DF5"/>
    <w:multiLevelType w:val="multilevel"/>
    <w:tmpl w:val="A17E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D00AD"/>
    <w:multiLevelType w:val="multilevel"/>
    <w:tmpl w:val="56E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BF0E6A"/>
    <w:multiLevelType w:val="multilevel"/>
    <w:tmpl w:val="5038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E311CA"/>
    <w:multiLevelType w:val="multilevel"/>
    <w:tmpl w:val="F148E4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B381C"/>
    <w:multiLevelType w:val="hybridMultilevel"/>
    <w:tmpl w:val="05AE3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937837"/>
    <w:multiLevelType w:val="hybridMultilevel"/>
    <w:tmpl w:val="4CFA83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42511B2"/>
    <w:multiLevelType w:val="multilevel"/>
    <w:tmpl w:val="319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566559">
    <w:abstractNumId w:val="7"/>
  </w:num>
  <w:num w:numId="2" w16cid:durableId="47458713">
    <w:abstractNumId w:val="3"/>
  </w:num>
  <w:num w:numId="3" w16cid:durableId="927426417">
    <w:abstractNumId w:val="12"/>
  </w:num>
  <w:num w:numId="4" w16cid:durableId="1090395189">
    <w:abstractNumId w:val="2"/>
  </w:num>
  <w:num w:numId="5" w16cid:durableId="1336348771">
    <w:abstractNumId w:val="0"/>
  </w:num>
  <w:num w:numId="6" w16cid:durableId="727068213">
    <w:abstractNumId w:val="1"/>
  </w:num>
  <w:num w:numId="7" w16cid:durableId="2078819057">
    <w:abstractNumId w:val="6"/>
  </w:num>
  <w:num w:numId="8" w16cid:durableId="886794342">
    <w:abstractNumId w:val="9"/>
  </w:num>
  <w:num w:numId="9" w16cid:durableId="854995568">
    <w:abstractNumId w:val="5"/>
  </w:num>
  <w:num w:numId="10" w16cid:durableId="661198865">
    <w:abstractNumId w:val="11"/>
  </w:num>
  <w:num w:numId="11" w16cid:durableId="1945459950">
    <w:abstractNumId w:val="10"/>
  </w:num>
  <w:num w:numId="12" w16cid:durableId="294455015">
    <w:abstractNumId w:val="4"/>
  </w:num>
  <w:num w:numId="13" w16cid:durableId="1749838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8"/>
    <w:rsid w:val="000B7CB2"/>
    <w:rsid w:val="000C5DF1"/>
    <w:rsid w:val="00142AA6"/>
    <w:rsid w:val="00165E53"/>
    <w:rsid w:val="001C541F"/>
    <w:rsid w:val="00216575"/>
    <w:rsid w:val="00231AC1"/>
    <w:rsid w:val="002B6E66"/>
    <w:rsid w:val="003607FF"/>
    <w:rsid w:val="00377FEB"/>
    <w:rsid w:val="004668CD"/>
    <w:rsid w:val="0046747E"/>
    <w:rsid w:val="00473A9D"/>
    <w:rsid w:val="004A64F8"/>
    <w:rsid w:val="00510236"/>
    <w:rsid w:val="00541746"/>
    <w:rsid w:val="0058597E"/>
    <w:rsid w:val="005A66D0"/>
    <w:rsid w:val="005B4EFD"/>
    <w:rsid w:val="006A5CF6"/>
    <w:rsid w:val="006D2269"/>
    <w:rsid w:val="00806BF9"/>
    <w:rsid w:val="008F595F"/>
    <w:rsid w:val="009868B5"/>
    <w:rsid w:val="00A54B8D"/>
    <w:rsid w:val="00B4539E"/>
    <w:rsid w:val="00B62929"/>
    <w:rsid w:val="00BC450F"/>
    <w:rsid w:val="00BD279C"/>
    <w:rsid w:val="00BF7A85"/>
    <w:rsid w:val="00C34908"/>
    <w:rsid w:val="00C6580C"/>
    <w:rsid w:val="00D1373F"/>
    <w:rsid w:val="00D45D4B"/>
    <w:rsid w:val="00DC7174"/>
    <w:rsid w:val="00DE507E"/>
    <w:rsid w:val="00DF3640"/>
    <w:rsid w:val="00E332DA"/>
    <w:rsid w:val="00E722A6"/>
    <w:rsid w:val="00F058C3"/>
    <w:rsid w:val="00FD12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7563"/>
  <w15:chartTrackingRefBased/>
  <w15:docId w15:val="{C19FE78A-826E-4E7A-BC40-003E3CB7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34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908"/>
    <w:rPr>
      <w:rFonts w:eastAsiaTheme="majorEastAsia" w:cstheme="majorBidi"/>
      <w:color w:val="272727" w:themeColor="text1" w:themeTint="D8"/>
    </w:rPr>
  </w:style>
  <w:style w:type="paragraph" w:styleId="Title">
    <w:name w:val="Title"/>
    <w:basedOn w:val="Normal"/>
    <w:next w:val="Normal"/>
    <w:link w:val="TitleChar"/>
    <w:uiPriority w:val="10"/>
    <w:qFormat/>
    <w:rsid w:val="00C3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908"/>
    <w:pPr>
      <w:spacing w:before="160"/>
      <w:jc w:val="center"/>
    </w:pPr>
    <w:rPr>
      <w:i/>
      <w:iCs/>
      <w:color w:val="404040" w:themeColor="text1" w:themeTint="BF"/>
    </w:rPr>
  </w:style>
  <w:style w:type="character" w:customStyle="1" w:styleId="QuoteChar">
    <w:name w:val="Quote Char"/>
    <w:basedOn w:val="DefaultParagraphFont"/>
    <w:link w:val="Quote"/>
    <w:uiPriority w:val="29"/>
    <w:rsid w:val="00C34908"/>
    <w:rPr>
      <w:i/>
      <w:iCs/>
      <w:color w:val="404040" w:themeColor="text1" w:themeTint="BF"/>
    </w:rPr>
  </w:style>
  <w:style w:type="paragraph" w:styleId="ListParagraph">
    <w:name w:val="List Paragraph"/>
    <w:basedOn w:val="Normal"/>
    <w:uiPriority w:val="34"/>
    <w:qFormat/>
    <w:rsid w:val="00C34908"/>
    <w:pPr>
      <w:ind w:left="720"/>
      <w:contextualSpacing/>
    </w:pPr>
  </w:style>
  <w:style w:type="character" w:styleId="IntenseEmphasis">
    <w:name w:val="Intense Emphasis"/>
    <w:basedOn w:val="DefaultParagraphFont"/>
    <w:uiPriority w:val="21"/>
    <w:qFormat/>
    <w:rsid w:val="00C34908"/>
    <w:rPr>
      <w:i/>
      <w:iCs/>
      <w:color w:val="0F4761" w:themeColor="accent1" w:themeShade="BF"/>
    </w:rPr>
  </w:style>
  <w:style w:type="paragraph" w:styleId="IntenseQuote">
    <w:name w:val="Intense Quote"/>
    <w:basedOn w:val="Normal"/>
    <w:next w:val="Normal"/>
    <w:link w:val="IntenseQuoteChar"/>
    <w:uiPriority w:val="30"/>
    <w:qFormat/>
    <w:rsid w:val="00C34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908"/>
    <w:rPr>
      <w:i/>
      <w:iCs/>
      <w:color w:val="0F4761" w:themeColor="accent1" w:themeShade="BF"/>
    </w:rPr>
  </w:style>
  <w:style w:type="character" w:styleId="IntenseReference">
    <w:name w:val="Intense Reference"/>
    <w:basedOn w:val="DefaultParagraphFont"/>
    <w:uiPriority w:val="32"/>
    <w:qFormat/>
    <w:rsid w:val="00C34908"/>
    <w:rPr>
      <w:b/>
      <w:bCs/>
      <w:smallCaps/>
      <w:color w:val="0F4761" w:themeColor="accent1" w:themeShade="BF"/>
      <w:spacing w:val="5"/>
    </w:rPr>
  </w:style>
  <w:style w:type="paragraph" w:styleId="Footer">
    <w:name w:val="footer"/>
    <w:basedOn w:val="Normal"/>
    <w:next w:val="Normal"/>
    <w:link w:val="FooterChar"/>
    <w:unhideWhenUsed/>
    <w:rsid w:val="00C34908"/>
    <w:pPr>
      <w:tabs>
        <w:tab w:val="center" w:pos="4513"/>
        <w:tab w:val="right" w:pos="9026"/>
      </w:tabs>
      <w:spacing w:after="0" w:line="240" w:lineRule="auto"/>
    </w:pPr>
  </w:style>
  <w:style w:type="character" w:customStyle="1" w:styleId="FooterChar">
    <w:name w:val="Footer Char"/>
    <w:basedOn w:val="DefaultParagraphFont"/>
    <w:link w:val="Footer"/>
    <w:rsid w:val="00C34908"/>
    <w:rPr>
      <w:kern w:val="0"/>
      <w:sz w:val="22"/>
      <w:szCs w:val="22"/>
      <w14:ligatures w14:val="none"/>
    </w:rPr>
  </w:style>
  <w:style w:type="paragraph" w:styleId="NoSpacing">
    <w:name w:val="No Spacing"/>
    <w:uiPriority w:val="1"/>
    <w:qFormat/>
    <w:rsid w:val="00C34908"/>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34908"/>
    <w:rPr>
      <w:color w:val="467886" w:themeColor="hyperlink"/>
      <w:u w:val="single"/>
    </w:rPr>
  </w:style>
  <w:style w:type="character" w:styleId="UnresolvedMention">
    <w:name w:val="Unresolved Mention"/>
    <w:basedOn w:val="DefaultParagraphFont"/>
    <w:uiPriority w:val="99"/>
    <w:semiHidden/>
    <w:unhideWhenUsed/>
    <w:rsid w:val="00C34908"/>
    <w:rPr>
      <w:color w:val="605E5C"/>
      <w:shd w:val="clear" w:color="auto" w:fill="E1DFDD"/>
    </w:rPr>
  </w:style>
  <w:style w:type="paragraph" w:styleId="Header">
    <w:name w:val="header"/>
    <w:basedOn w:val="Normal"/>
    <w:link w:val="HeaderChar"/>
    <w:uiPriority w:val="99"/>
    <w:unhideWhenUsed/>
    <w:rsid w:val="00360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7FF"/>
    <w:rPr>
      <w:kern w:val="0"/>
      <w:sz w:val="22"/>
      <w:szCs w:val="22"/>
      <w14:ligatures w14:val="none"/>
    </w:rPr>
  </w:style>
  <w:style w:type="paragraph" w:styleId="Revision">
    <w:name w:val="Revision"/>
    <w:hidden/>
    <w:uiPriority w:val="99"/>
    <w:semiHidden/>
    <w:rsid w:val="00142AA6"/>
    <w:pPr>
      <w:spacing w:after="0" w:line="240" w:lineRule="auto"/>
    </w:pPr>
    <w:rPr>
      <w:kern w:val="0"/>
      <w:sz w:val="22"/>
      <w:szCs w:val="22"/>
      <w14:ligatures w14:val="none"/>
    </w:rPr>
  </w:style>
  <w:style w:type="table" w:styleId="TableGrid">
    <w:name w:val="Table Grid"/>
    <w:basedOn w:val="TableNormal"/>
    <w:uiPriority w:val="39"/>
    <w:rsid w:val="00DF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13718">
      <w:bodyDiv w:val="1"/>
      <w:marLeft w:val="0"/>
      <w:marRight w:val="0"/>
      <w:marTop w:val="0"/>
      <w:marBottom w:val="0"/>
      <w:divBdr>
        <w:top w:val="none" w:sz="0" w:space="0" w:color="auto"/>
        <w:left w:val="none" w:sz="0" w:space="0" w:color="auto"/>
        <w:bottom w:val="none" w:sz="0" w:space="0" w:color="auto"/>
        <w:right w:val="none" w:sz="0" w:space="0" w:color="auto"/>
      </w:divBdr>
    </w:div>
    <w:div w:id="19157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monds@sdcpartnership.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dcpartnership.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llaghtdatf.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d5076-637d-44b8-9e9f-3e83eb4b6429">
      <Terms xmlns="http://schemas.microsoft.com/office/infopath/2007/PartnerControls"/>
    </lcf76f155ced4ddcb4097134ff3c332f>
    <TaxCatchAll xmlns="6e067e03-888c-45b0-8051-7897c71388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E29D2CE3A9544AD06C7287BE80BC6" ma:contentTypeVersion="16" ma:contentTypeDescription="Create a new document." ma:contentTypeScope="" ma:versionID="40c0038fac0758cecb766a53bd6c5968">
  <xsd:schema xmlns:xsd="http://www.w3.org/2001/XMLSchema" xmlns:xs="http://www.w3.org/2001/XMLSchema" xmlns:p="http://schemas.microsoft.com/office/2006/metadata/properties" xmlns:ns2="50fd5076-637d-44b8-9e9f-3e83eb4b6429" xmlns:ns3="6e067e03-888c-45b0-8051-7897c713885d" targetNamespace="http://schemas.microsoft.com/office/2006/metadata/properties" ma:root="true" ma:fieldsID="45425ced02933f326050cbd74cad6191" ns2:_="" ns3:_="">
    <xsd:import namespace="50fd5076-637d-44b8-9e9f-3e83eb4b6429"/>
    <xsd:import namespace="6e067e03-888c-45b0-8051-7897c71388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d5076-637d-44b8-9e9f-3e83eb4b6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8221e2-d8d9-44c5-af2e-896d694fc0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67e03-888c-45b0-8051-7897c7138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ce70cc-12b7-43fd-846e-f68ad69228e3}" ma:internalName="TaxCatchAll" ma:showField="CatchAllData" ma:web="6e067e03-888c-45b0-8051-7897c7138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A5B2-B3FF-495E-A56A-6A663025E254}">
  <ds:schemaRefs>
    <ds:schemaRef ds:uri="http://schemas.microsoft.com/office/2006/metadata/properties"/>
    <ds:schemaRef ds:uri="http://schemas.microsoft.com/office/infopath/2007/PartnerControls"/>
    <ds:schemaRef ds:uri="50fd5076-637d-44b8-9e9f-3e83eb4b6429"/>
    <ds:schemaRef ds:uri="6e067e03-888c-45b0-8051-7897c713885d"/>
  </ds:schemaRefs>
</ds:datastoreItem>
</file>

<file path=customXml/itemProps2.xml><?xml version="1.0" encoding="utf-8"?>
<ds:datastoreItem xmlns:ds="http://schemas.openxmlformats.org/officeDocument/2006/customXml" ds:itemID="{A5819CF5-73C9-4354-B9F3-BCE183EE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d5076-637d-44b8-9e9f-3e83eb4b6429"/>
    <ds:schemaRef ds:uri="6e067e03-888c-45b0-8051-7897c7138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32146-C7F0-4E33-978F-16EEDDCF23CF}">
  <ds:schemaRefs>
    <ds:schemaRef ds:uri="http://schemas.microsoft.com/sharepoint/v3/contenttype/forms"/>
  </ds:schemaRefs>
</ds:datastoreItem>
</file>

<file path=customXml/itemProps4.xml><?xml version="1.0" encoding="utf-8"?>
<ds:datastoreItem xmlns:ds="http://schemas.openxmlformats.org/officeDocument/2006/customXml" ds:itemID="{C9B7458D-697C-4556-A3E3-35845D29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Monds</dc:creator>
  <cp:keywords/>
  <dc:description/>
  <cp:lastModifiedBy>Renata Milewska</cp:lastModifiedBy>
  <cp:revision>18</cp:revision>
  <dcterms:created xsi:type="dcterms:W3CDTF">2026-01-20T15:00:00Z</dcterms:created>
  <dcterms:modified xsi:type="dcterms:W3CDTF">2026-01-21T13:39:00Z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0x010100CC1E29D2CE3A9544AD06C7287BE80BC6</vt:lpwstr>
  </property>
  <property fmtid="{D5CDD505-2E9C-101B-9397-08002B2CF9AE}" pid="3" name="MediaServiceImageTags">
    <vt:lpwstr/>
  </property>
</Properties>
</file>