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1E30" w14:textId="4278ADFF" w:rsidR="007F37CE" w:rsidRPr="006F6804" w:rsidRDefault="007F37CE" w:rsidP="006F6804">
      <w:pPr>
        <w:suppressAutoHyphens/>
        <w:autoSpaceDN w:val="0"/>
        <w:spacing w:after="0" w:line="360" w:lineRule="auto"/>
        <w:contextualSpacing/>
        <w:jc w:val="center"/>
        <w:textAlignment w:val="baseline"/>
        <w:rPr>
          <w:rFonts w:ascii="Aptos" w:eastAsia="Times New Roman" w:hAnsi="Aptos" w:cstheme="minorHAnsi"/>
          <w:b/>
          <w:bCs/>
          <w:shd w:val="clear" w:color="auto" w:fill="FFFFFF"/>
          <w:lang w:eastAsia="en-IE"/>
        </w:rPr>
      </w:pPr>
      <w:r w:rsidRPr="006E5953">
        <w:rPr>
          <w:rFonts w:ascii="Aptos" w:eastAsia="Times New Roman" w:hAnsi="Aptos" w:cstheme="minorHAnsi"/>
          <w:b/>
          <w:bCs/>
          <w:shd w:val="clear" w:color="auto" w:fill="FFFFFF"/>
          <w:lang w:eastAsia="en-IE"/>
        </w:rPr>
        <w:t>South Dublin County Partnership</w:t>
      </w:r>
    </w:p>
    <w:p w14:paraId="346BB5D0" w14:textId="4773FC58" w:rsidR="00C05F3F" w:rsidRDefault="007F37CE" w:rsidP="006F6804">
      <w:pPr>
        <w:keepNext/>
        <w:keepLines/>
        <w:spacing w:before="40" w:after="0" w:line="276" w:lineRule="auto"/>
        <w:ind w:left="1440" w:firstLine="720"/>
        <w:outlineLvl w:val="2"/>
        <w:rPr>
          <w:rFonts w:ascii="Aptos" w:eastAsiaTheme="majorEastAsia" w:hAnsi="Aptos" w:cstheme="minorHAnsi"/>
          <w:color w:val="000000" w:themeColor="text1"/>
        </w:rPr>
      </w:pPr>
      <w:r w:rsidRPr="006E5953">
        <w:rPr>
          <w:rFonts w:ascii="Aptos" w:eastAsiaTheme="majorEastAsia" w:hAnsi="Aptos" w:cstheme="minorHAnsi"/>
          <w:b/>
          <w:bCs/>
          <w:color w:val="000000" w:themeColor="text1"/>
        </w:rPr>
        <w:t>Job Title:</w:t>
      </w:r>
      <w:r w:rsidRPr="006E5953">
        <w:rPr>
          <w:rFonts w:ascii="Aptos" w:eastAsiaTheme="majorEastAsia" w:hAnsi="Aptos" w:cstheme="minorHAnsi"/>
          <w:b/>
          <w:bCs/>
          <w:color w:val="000000" w:themeColor="text1"/>
        </w:rPr>
        <w:tab/>
      </w:r>
      <w:r w:rsidRPr="007F37CE">
        <w:rPr>
          <w:rFonts w:ascii="Aptos" w:eastAsiaTheme="majorEastAsia" w:hAnsi="Aptos" w:cstheme="minorHAnsi"/>
          <w:b/>
          <w:bCs/>
          <w:color w:val="000000" w:themeColor="text1"/>
        </w:rPr>
        <w:t>UBU Balgaddy Youth Worker</w:t>
      </w:r>
      <w:r w:rsidRPr="006E5953">
        <w:rPr>
          <w:rFonts w:ascii="Aptos" w:eastAsiaTheme="majorEastAsia" w:hAnsi="Aptos" w:cstheme="minorHAnsi"/>
          <w:b/>
          <w:bCs/>
          <w:color w:val="000000" w:themeColor="text1"/>
        </w:rPr>
        <w:t xml:space="preserve"> </w:t>
      </w:r>
    </w:p>
    <w:p w14:paraId="13109579" w14:textId="77777777" w:rsidR="006F6804" w:rsidRPr="006F6804" w:rsidRDefault="006F6804" w:rsidP="006F6804">
      <w:pPr>
        <w:keepNext/>
        <w:keepLines/>
        <w:spacing w:before="40" w:after="0" w:line="276" w:lineRule="auto"/>
        <w:ind w:left="1440" w:firstLine="720"/>
        <w:outlineLvl w:val="2"/>
        <w:rPr>
          <w:rFonts w:ascii="Aptos" w:eastAsiaTheme="majorEastAsia" w:hAnsi="Aptos" w:cstheme="minorHAnsi"/>
          <w:color w:val="000000" w:themeColor="text1"/>
        </w:rPr>
      </w:pPr>
    </w:p>
    <w:p w14:paraId="3A4C77A0" w14:textId="6E386AEA" w:rsidR="00C05F3F" w:rsidRPr="00680077" w:rsidRDefault="00C05F3F" w:rsidP="00C05F3F">
      <w:pPr>
        <w:rPr>
          <w:color w:val="000000" w:themeColor="text1"/>
          <w:lang w:eastAsia="en-IE"/>
        </w:rPr>
      </w:pPr>
      <w:r w:rsidRPr="00680077">
        <w:rPr>
          <w:color w:val="000000"/>
          <w:lang w:eastAsia="en-IE"/>
        </w:rPr>
        <w:t xml:space="preserve">A vacancy has arisen for a part-time position (28hrs) as </w:t>
      </w:r>
      <w:r w:rsidRPr="00680077">
        <w:rPr>
          <w:color w:val="000000" w:themeColor="text1"/>
          <w:lang w:eastAsia="en-IE"/>
        </w:rPr>
        <w:t xml:space="preserve">a </w:t>
      </w:r>
      <w:r w:rsidRPr="00687DFE">
        <w:rPr>
          <w:color w:val="000000" w:themeColor="text1"/>
          <w:lang w:eastAsia="en-IE"/>
        </w:rPr>
        <w:t>UBU Balgaddy Youth Worker</w:t>
      </w:r>
      <w:r>
        <w:rPr>
          <w:color w:val="000000" w:themeColor="text1"/>
          <w:lang w:eastAsia="en-IE"/>
        </w:rPr>
        <w:t xml:space="preserve"> </w:t>
      </w:r>
      <w:r w:rsidRPr="00680077">
        <w:rPr>
          <w:color w:val="000000" w:themeColor="text1"/>
          <w:lang w:eastAsia="en-IE"/>
        </w:rPr>
        <w:t>in South Dublin County Partnership</w:t>
      </w:r>
      <w:r>
        <w:rPr>
          <w:color w:val="000000" w:themeColor="text1"/>
          <w:lang w:eastAsia="en-IE"/>
        </w:rPr>
        <w:t xml:space="preserve"> (SDCP)</w:t>
      </w:r>
      <w:r w:rsidRPr="00680077">
        <w:rPr>
          <w:color w:val="000000" w:themeColor="text1"/>
          <w:lang w:eastAsia="en-IE"/>
        </w:rPr>
        <w:t xml:space="preserve">. </w:t>
      </w:r>
      <w:r w:rsidRPr="00687DFE">
        <w:rPr>
          <w:color w:val="000000" w:themeColor="text1"/>
          <w:lang w:eastAsia="en-IE"/>
        </w:rPr>
        <w:t xml:space="preserve">This UBU post is provided by </w:t>
      </w:r>
      <w:r>
        <w:rPr>
          <w:color w:val="000000" w:themeColor="text1"/>
          <w:lang w:eastAsia="en-IE"/>
        </w:rPr>
        <w:t xml:space="preserve">SDCP </w:t>
      </w:r>
      <w:r w:rsidRPr="00687DFE">
        <w:rPr>
          <w:color w:val="000000" w:themeColor="text1"/>
          <w:lang w:eastAsia="en-IE"/>
        </w:rPr>
        <w:t>in cooperation with Dublin and Dun Laoghaire Education and Training Board (DDLETB). It is funded by the Department of Education &amp; Youth under the UBU- Your Place, Your Space targeted youth funding scheme.</w:t>
      </w:r>
      <w:r>
        <w:rPr>
          <w:color w:val="000000" w:themeColor="text1"/>
          <w:lang w:eastAsia="en-IE"/>
        </w:rPr>
        <w:t xml:space="preserve"> SDCP</w:t>
      </w:r>
      <w:r w:rsidRPr="00680077">
        <w:rPr>
          <w:color w:val="000000" w:themeColor="text1"/>
          <w:lang w:eastAsia="en-IE"/>
        </w:rPr>
        <w:t xml:space="preserve"> works with people who are socially excluded or are at risk of becoming so and promotes social cohesion with a focus on the most disadvantaged neighbourhoods. </w:t>
      </w:r>
      <w:r>
        <w:t xml:space="preserve">The successful candidate </w:t>
      </w:r>
      <w:r w:rsidRPr="00326C44">
        <w:rPr>
          <w:color w:val="000000" w:themeColor="text1"/>
          <w:lang w:eastAsia="en-IE"/>
        </w:rPr>
        <w:t xml:space="preserve">will be based in the </w:t>
      </w:r>
      <w:proofErr w:type="spellStart"/>
      <w:r w:rsidRPr="00326C44">
        <w:rPr>
          <w:color w:val="000000" w:themeColor="text1"/>
          <w:lang w:eastAsia="en-IE"/>
        </w:rPr>
        <w:t>Balgaddy</w:t>
      </w:r>
      <w:proofErr w:type="spellEnd"/>
      <w:r w:rsidRPr="00326C44">
        <w:rPr>
          <w:color w:val="000000" w:themeColor="text1"/>
          <w:lang w:eastAsia="en-IE"/>
        </w:rPr>
        <w:t xml:space="preserve"> area reporting directly to the Children and Families Manager in South Dublin County Partnership.</w:t>
      </w:r>
    </w:p>
    <w:p w14:paraId="723BE63A" w14:textId="6DC621A7" w:rsidR="00C05F3F" w:rsidRPr="006F6804" w:rsidRDefault="00C05F3F" w:rsidP="006F6804">
      <w:pPr>
        <w:keepNext/>
        <w:keepLines/>
        <w:spacing w:before="40" w:after="0" w:line="276" w:lineRule="auto"/>
        <w:ind w:left="2160" w:hanging="2160"/>
        <w:outlineLvl w:val="2"/>
      </w:pPr>
      <w:r w:rsidRPr="00680077">
        <w:rPr>
          <w:rFonts w:eastAsia="Times New Roman" w:cstheme="minorHAnsi"/>
          <w:b/>
          <w:bCs/>
          <w:color w:val="000000" w:themeColor="text1"/>
        </w:rPr>
        <w:t>Purpose of Role</w:t>
      </w:r>
      <w:r w:rsidRPr="00680077">
        <w:rPr>
          <w:rFonts w:eastAsia="Times New Roman" w:cstheme="minorHAnsi"/>
          <w:color w:val="000000" w:themeColor="text1"/>
        </w:rPr>
        <w:t xml:space="preserve">:  </w:t>
      </w:r>
      <w:r w:rsidRPr="00680077">
        <w:rPr>
          <w:rFonts w:eastAsia="Times New Roman" w:cstheme="minorHAnsi"/>
          <w:color w:val="000000" w:themeColor="text1"/>
        </w:rPr>
        <w:tab/>
        <w:t xml:space="preserve">This exciting new position will see the successful candidate work </w:t>
      </w:r>
      <w:r w:rsidRPr="002F7A5C">
        <w:rPr>
          <w:rFonts w:eastAsia="Times New Roman" w:cstheme="minorHAnsi"/>
          <w:color w:val="000000" w:themeColor="text1"/>
        </w:rPr>
        <w:t xml:space="preserve">directly with young people in a variety of youth work settings. The work includes identifying and engaging targeted young people, providing group and individual interventions, programme development, delivery and analysis, and coordinating school holiday programmes. </w:t>
      </w:r>
    </w:p>
    <w:p w14:paraId="7EFC336E" w14:textId="77777777" w:rsidR="00C05F3F" w:rsidRPr="00680077" w:rsidRDefault="00C05F3F" w:rsidP="00C05F3F">
      <w:pPr>
        <w:rPr>
          <w:color w:val="000000" w:themeColor="text1"/>
          <w:lang w:eastAsia="en-IE"/>
        </w:rPr>
      </w:pPr>
      <w:r w:rsidRPr="00680077">
        <w:rPr>
          <w:b/>
          <w:color w:val="000000" w:themeColor="text1"/>
          <w:lang w:eastAsia="en-IE"/>
        </w:rPr>
        <w:t xml:space="preserve">The </w:t>
      </w:r>
      <w:r>
        <w:rPr>
          <w:b/>
          <w:bCs/>
          <w:color w:val="000000" w:themeColor="text1"/>
          <w:lang w:eastAsia="en-IE"/>
        </w:rPr>
        <w:t>UBU Balgaddy Youth</w:t>
      </w:r>
      <w:r w:rsidRPr="00680077">
        <w:rPr>
          <w:b/>
          <w:bCs/>
          <w:color w:val="000000" w:themeColor="text1"/>
          <w:lang w:eastAsia="en-IE"/>
        </w:rPr>
        <w:t xml:space="preserve"> Worker</w:t>
      </w:r>
      <w:r w:rsidRPr="00680077">
        <w:rPr>
          <w:color w:val="000000" w:themeColor="text1"/>
          <w:lang w:eastAsia="en-IE"/>
        </w:rPr>
        <w:t xml:space="preserve"> </w:t>
      </w:r>
      <w:r w:rsidRPr="00680077">
        <w:rPr>
          <w:b/>
          <w:color w:val="000000" w:themeColor="text1"/>
          <w:lang w:eastAsia="en-IE"/>
        </w:rPr>
        <w:t>will be</w:t>
      </w:r>
      <w:r>
        <w:rPr>
          <w:b/>
          <w:color w:val="000000" w:themeColor="text1"/>
          <w:lang w:eastAsia="en-IE"/>
        </w:rPr>
        <w:t xml:space="preserve"> </w:t>
      </w:r>
      <w:r w:rsidRPr="00963785">
        <w:rPr>
          <w:b/>
          <w:color w:val="000000" w:themeColor="text1"/>
          <w:lang w:eastAsia="en-IE"/>
        </w:rPr>
        <w:t>responsible for providing out-of-school supports to young people in their local communities to enable them to achieve their full potential by improving their personal and social development outcomes</w:t>
      </w:r>
    </w:p>
    <w:p w14:paraId="2C4E069D" w14:textId="567C0F60" w:rsidR="00C05F3F" w:rsidRDefault="00C05F3F" w:rsidP="00C05F3F">
      <w:pPr>
        <w:tabs>
          <w:tab w:val="left" w:pos="466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680077">
        <w:rPr>
          <w:rFonts w:eastAsia="Times New Roman" w:cs="Times New Roman"/>
          <w:b/>
          <w:bCs/>
          <w:color w:val="000000" w:themeColor="text1"/>
        </w:rPr>
        <w:t xml:space="preserve">Key </w:t>
      </w:r>
      <w:r w:rsidR="00674D66">
        <w:rPr>
          <w:rFonts w:eastAsia="Times New Roman" w:cs="Times New Roman"/>
          <w:b/>
          <w:bCs/>
          <w:color w:val="000000" w:themeColor="text1"/>
        </w:rPr>
        <w:t>R</w:t>
      </w:r>
      <w:r w:rsidRPr="00680077">
        <w:rPr>
          <w:rFonts w:eastAsia="Times New Roman" w:cs="Times New Roman"/>
          <w:b/>
          <w:bCs/>
          <w:color w:val="000000" w:themeColor="text1"/>
        </w:rPr>
        <w:t xml:space="preserve">esponsibilities </w:t>
      </w:r>
    </w:p>
    <w:p w14:paraId="48606E0E" w14:textId="6788AEC9" w:rsidR="00C05F3F" w:rsidRPr="00B00842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B00842">
        <w:rPr>
          <w:rFonts w:cs="Times New Roman"/>
          <w:color w:val="000000" w:themeColor="text1"/>
        </w:rPr>
        <w:t>Direct delivery and implementation of appropriate support programmes with identified groups of young people</w:t>
      </w:r>
      <w:r>
        <w:rPr>
          <w:rFonts w:cs="Times New Roman"/>
          <w:color w:val="000000" w:themeColor="text1"/>
        </w:rPr>
        <w:t xml:space="preserve"> aged 10+yrs</w:t>
      </w:r>
    </w:p>
    <w:p w14:paraId="366AF1B1" w14:textId="77777777" w:rsidR="00C05F3F" w:rsidRPr="00B00842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B00842">
        <w:rPr>
          <w:rFonts w:cs="Times New Roman"/>
          <w:color w:val="000000" w:themeColor="text1"/>
        </w:rPr>
        <w:t>Identifying and recruiting targeted young people to engage in programmes &amp; interventions offered by the project</w:t>
      </w:r>
    </w:p>
    <w:p w14:paraId="3FC6EEA4" w14:textId="34F60DFD" w:rsidR="00C05F3F" w:rsidRPr="00B00842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B00842">
        <w:rPr>
          <w:rFonts w:cs="Times New Roman"/>
          <w:color w:val="000000" w:themeColor="text1"/>
        </w:rPr>
        <w:t>Engaging young people, stakeholders and the community in the identification of needs, and the design of youth work programmes for targeted young people</w:t>
      </w:r>
    </w:p>
    <w:p w14:paraId="4DBDCD2A" w14:textId="5E8372DB" w:rsidR="00C05F3F" w:rsidRPr="00B00842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Collaborative working, facilitation, n</w:t>
      </w:r>
      <w:r w:rsidRPr="00B00842">
        <w:rPr>
          <w:rFonts w:cs="Times New Roman"/>
          <w:color w:val="000000" w:themeColor="text1"/>
        </w:rPr>
        <w:t>etworking and co-operating with other agencies/organisations and community groups in the area in order to initiate and contribute to responses to meet youth needs</w:t>
      </w:r>
    </w:p>
    <w:p w14:paraId="057497F5" w14:textId="73DA347D" w:rsidR="00C05F3F" w:rsidRPr="00B00842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B00842">
        <w:rPr>
          <w:rFonts w:cs="Times New Roman"/>
          <w:color w:val="000000" w:themeColor="text1"/>
        </w:rPr>
        <w:t>Preparing written reports as required for management and funders</w:t>
      </w:r>
    </w:p>
    <w:p w14:paraId="64F6415B" w14:textId="72508A99" w:rsidR="00C05F3F" w:rsidRPr="007100C9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Working as part of a team with </w:t>
      </w:r>
      <w:r w:rsidR="00823A8D">
        <w:rPr>
          <w:rFonts w:cs="Times New Roman"/>
          <w:color w:val="000000" w:themeColor="text1"/>
        </w:rPr>
        <w:t xml:space="preserve">the current UBU worker and the </w:t>
      </w:r>
      <w:r>
        <w:rPr>
          <w:rFonts w:cs="Times New Roman"/>
          <w:color w:val="000000" w:themeColor="text1"/>
        </w:rPr>
        <w:t xml:space="preserve">SDCP children and families staff </w:t>
      </w:r>
      <w:r w:rsidR="005C79AA">
        <w:rPr>
          <w:rFonts w:cs="Times New Roman"/>
          <w:color w:val="000000" w:themeColor="text1"/>
        </w:rPr>
        <w:t>by</w:t>
      </w:r>
      <w:r>
        <w:rPr>
          <w:rFonts w:cs="Times New Roman"/>
          <w:color w:val="000000" w:themeColor="text1"/>
        </w:rPr>
        <w:t xml:space="preserve"> complimenting existing programmes for </w:t>
      </w:r>
      <w:r w:rsidRPr="00F675AC">
        <w:rPr>
          <w:rFonts w:cs="Times New Roman"/>
          <w:color w:val="000000" w:themeColor="text1"/>
        </w:rPr>
        <w:t>6–12</w:t>
      </w:r>
      <w:r w:rsidR="005C79AA">
        <w:rPr>
          <w:rFonts w:cs="Times New Roman"/>
          <w:color w:val="000000" w:themeColor="text1"/>
        </w:rPr>
        <w:t xml:space="preserve">yr </w:t>
      </w:r>
      <w:r w:rsidRPr="00F675AC">
        <w:rPr>
          <w:rFonts w:cs="Times New Roman"/>
          <w:color w:val="000000" w:themeColor="text1"/>
        </w:rPr>
        <w:t>old children</w:t>
      </w:r>
      <w:r>
        <w:rPr>
          <w:rFonts w:cs="Times New Roman"/>
          <w:color w:val="000000" w:themeColor="text1"/>
        </w:rPr>
        <w:t xml:space="preserve"> </w:t>
      </w:r>
      <w:r w:rsidRPr="00F675AC">
        <w:rPr>
          <w:rFonts w:cs="Times New Roman"/>
          <w:color w:val="000000" w:themeColor="text1"/>
        </w:rPr>
        <w:t>to ensure that the centre has a full and vibrant schedule of activities</w:t>
      </w:r>
    </w:p>
    <w:p w14:paraId="56363878" w14:textId="77777777" w:rsidR="00C05F3F" w:rsidRPr="00F675AC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O</w:t>
      </w:r>
      <w:r w:rsidRPr="00F675AC">
        <w:rPr>
          <w:rFonts w:cs="Times New Roman"/>
          <w:color w:val="000000" w:themeColor="text1"/>
        </w:rPr>
        <w:t xml:space="preserve">rganising and running mid-term and summer camps with the </w:t>
      </w:r>
      <w:r>
        <w:rPr>
          <w:rFonts w:cs="Times New Roman"/>
          <w:color w:val="000000" w:themeColor="text1"/>
        </w:rPr>
        <w:t>children and families</w:t>
      </w:r>
      <w:r w:rsidRPr="00F675AC">
        <w:rPr>
          <w:rFonts w:cs="Times New Roman"/>
          <w:color w:val="000000" w:themeColor="text1"/>
        </w:rPr>
        <w:t xml:space="preserve"> team</w:t>
      </w:r>
    </w:p>
    <w:p w14:paraId="79212975" w14:textId="77777777" w:rsidR="00C05F3F" w:rsidRPr="00F675AC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</w:t>
      </w:r>
      <w:r w:rsidRPr="00F675AC">
        <w:rPr>
          <w:rFonts w:cs="Times New Roman"/>
          <w:color w:val="000000" w:themeColor="text1"/>
        </w:rPr>
        <w:t xml:space="preserve">romoting </w:t>
      </w:r>
      <w:proofErr w:type="spellStart"/>
      <w:r w:rsidRPr="00F675AC">
        <w:rPr>
          <w:rFonts w:cs="Times New Roman"/>
          <w:color w:val="000000" w:themeColor="text1"/>
        </w:rPr>
        <w:t>Balgaddy</w:t>
      </w:r>
      <w:proofErr w:type="spellEnd"/>
      <w:r w:rsidRPr="00F675AC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youth </w:t>
      </w:r>
      <w:r w:rsidRPr="00F675AC">
        <w:rPr>
          <w:rFonts w:cs="Times New Roman"/>
          <w:color w:val="000000" w:themeColor="text1"/>
        </w:rPr>
        <w:t>events on social media and promoting activities in the community</w:t>
      </w:r>
    </w:p>
    <w:p w14:paraId="084073DB" w14:textId="77777777" w:rsidR="00C05F3F" w:rsidRPr="00680077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680077">
        <w:rPr>
          <w:rFonts w:cs="Times New Roman"/>
          <w:color w:val="000000" w:themeColor="text1"/>
        </w:rPr>
        <w:t xml:space="preserve">Meet yearly targets as part of </w:t>
      </w:r>
      <w:r>
        <w:rPr>
          <w:rFonts w:cs="Times New Roman"/>
          <w:color w:val="000000" w:themeColor="text1"/>
        </w:rPr>
        <w:t xml:space="preserve">UBU </w:t>
      </w:r>
      <w:r w:rsidRPr="00680077">
        <w:rPr>
          <w:rFonts w:cs="Times New Roman"/>
          <w:color w:val="000000" w:themeColor="text1"/>
        </w:rPr>
        <w:t xml:space="preserve">funder requirements including all administrative requirements and </w:t>
      </w:r>
      <w:r>
        <w:rPr>
          <w:rFonts w:cs="Times New Roman"/>
          <w:color w:val="000000" w:themeColor="text1"/>
        </w:rPr>
        <w:t xml:space="preserve">maintaining </w:t>
      </w:r>
      <w:r w:rsidRPr="00680077">
        <w:rPr>
          <w:rFonts w:cs="Times New Roman"/>
          <w:color w:val="000000" w:themeColor="text1"/>
        </w:rPr>
        <w:t xml:space="preserve">CRM systems </w:t>
      </w:r>
      <w:r>
        <w:rPr>
          <w:rFonts w:cs="Times New Roman"/>
          <w:color w:val="000000" w:themeColor="text1"/>
        </w:rPr>
        <w:t>(</w:t>
      </w:r>
      <w:r w:rsidRPr="00680077">
        <w:rPr>
          <w:rFonts w:cs="Times New Roman"/>
          <w:color w:val="000000" w:themeColor="text1"/>
        </w:rPr>
        <w:t xml:space="preserve">Salesforce) </w:t>
      </w:r>
    </w:p>
    <w:p w14:paraId="2BA93FE6" w14:textId="241FC6C1" w:rsidR="00C05F3F" w:rsidRPr="00680077" w:rsidRDefault="00C15276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Ahere to </w:t>
      </w:r>
      <w:r w:rsidR="00C05F3F" w:rsidRPr="00680077">
        <w:rPr>
          <w:rFonts w:cs="Times New Roman"/>
          <w:color w:val="000000" w:themeColor="text1"/>
        </w:rPr>
        <w:t xml:space="preserve">the delivery requirements and reporting mechanisms for </w:t>
      </w:r>
      <w:r w:rsidR="00C05F3F">
        <w:rPr>
          <w:rFonts w:cs="Times New Roman"/>
          <w:color w:val="000000" w:themeColor="text1"/>
        </w:rPr>
        <w:t xml:space="preserve">UBU </w:t>
      </w:r>
      <w:r>
        <w:rPr>
          <w:rFonts w:cs="Times New Roman"/>
          <w:color w:val="000000" w:themeColor="text1"/>
        </w:rPr>
        <w:t>in partnership with the current UBU worker</w:t>
      </w:r>
    </w:p>
    <w:p w14:paraId="17051BE5" w14:textId="77777777" w:rsidR="00C05F3F" w:rsidRPr="00680077" w:rsidRDefault="00C05F3F" w:rsidP="00C05F3F">
      <w:pPr>
        <w:pStyle w:val="ListParagraph"/>
        <w:numPr>
          <w:ilvl w:val="0"/>
          <w:numId w:val="1"/>
        </w:numPr>
        <w:tabs>
          <w:tab w:val="left" w:pos="5964"/>
        </w:tabs>
        <w:spacing w:after="0" w:line="276" w:lineRule="auto"/>
        <w:rPr>
          <w:rFonts w:eastAsia="Calibri" w:cstheme="minorHAnsi"/>
          <w:b/>
        </w:rPr>
      </w:pPr>
      <w:r w:rsidRPr="00680077">
        <w:rPr>
          <w:rFonts w:cs="Times New Roman"/>
          <w:color w:val="000000" w:themeColor="text1"/>
        </w:rPr>
        <w:t xml:space="preserve">Develop and administer appropriate evaluation tools to measure impact of interventions </w:t>
      </w:r>
      <w:r w:rsidRPr="00680077">
        <w:rPr>
          <w:shd w:val="clear" w:color="auto" w:fill="FFFFFF"/>
        </w:rPr>
        <w:t xml:space="preserve">and prepare mid-year and annual reports for the Children &amp; Families manager and </w:t>
      </w:r>
      <w:r>
        <w:rPr>
          <w:shd w:val="clear" w:color="auto" w:fill="FFFFFF"/>
        </w:rPr>
        <w:t>funders</w:t>
      </w:r>
    </w:p>
    <w:p w14:paraId="3A0BE2A7" w14:textId="673AD6EB" w:rsidR="00C05F3F" w:rsidRPr="00680077" w:rsidRDefault="00C05F3F" w:rsidP="00C05F3F">
      <w:pPr>
        <w:pStyle w:val="ListParagraph"/>
        <w:numPr>
          <w:ilvl w:val="0"/>
          <w:numId w:val="1"/>
        </w:numPr>
        <w:tabs>
          <w:tab w:val="left" w:pos="5964"/>
        </w:tabs>
        <w:spacing w:after="0" w:line="276" w:lineRule="auto"/>
        <w:rPr>
          <w:rFonts w:eastAsia="Calibri" w:cstheme="minorHAnsi"/>
          <w:b/>
        </w:rPr>
      </w:pPr>
      <w:r w:rsidRPr="00680077">
        <w:rPr>
          <w:shd w:val="clear" w:color="auto" w:fill="FFFFFF"/>
        </w:rPr>
        <w:t>Any other duties as assigned by the Children &amp; Families manager</w:t>
      </w:r>
    </w:p>
    <w:p w14:paraId="7502FEED" w14:textId="77777777" w:rsidR="00C05F3F" w:rsidRPr="00680077" w:rsidRDefault="00C05F3F" w:rsidP="00C05F3F">
      <w:pPr>
        <w:tabs>
          <w:tab w:val="left" w:pos="466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</w:p>
    <w:p w14:paraId="16EC1D13" w14:textId="77777777" w:rsidR="0058609E" w:rsidRDefault="0058609E" w:rsidP="00C05F3F">
      <w:pPr>
        <w:rPr>
          <w:b/>
          <w:bCs/>
        </w:rPr>
      </w:pPr>
    </w:p>
    <w:p w14:paraId="182E768E" w14:textId="77777777" w:rsidR="004D61EF" w:rsidRPr="004D61EF" w:rsidRDefault="004D61EF" w:rsidP="00C05F3F">
      <w:pPr>
        <w:rPr>
          <w:b/>
          <w:bCs/>
          <w:sz w:val="10"/>
          <w:szCs w:val="10"/>
        </w:rPr>
      </w:pPr>
    </w:p>
    <w:p w14:paraId="0EFAB746" w14:textId="3F6EC954" w:rsidR="00C05F3F" w:rsidRPr="00674D66" w:rsidRDefault="00C05F3F" w:rsidP="00C05F3F">
      <w:pPr>
        <w:rPr>
          <w:b/>
          <w:bCs/>
        </w:rPr>
      </w:pPr>
      <w:r w:rsidRPr="00674D66">
        <w:rPr>
          <w:b/>
          <w:bCs/>
        </w:rPr>
        <w:t>Professional Qualifications and Experience</w:t>
      </w:r>
    </w:p>
    <w:p w14:paraId="43559E91" w14:textId="77777777" w:rsidR="00C05F3F" w:rsidRPr="00F8215C" w:rsidRDefault="00C05F3F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>A qualification in community and youth work, social sciences, early childhood education or a related field is essential.</w:t>
      </w:r>
    </w:p>
    <w:p w14:paraId="46B10BF9" w14:textId="77777777" w:rsidR="00C05F3F" w:rsidRPr="00F8215C" w:rsidRDefault="00C05F3F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 xml:space="preserve">A minimum of 1 year relevant paid or voluntary experience working with young people </w:t>
      </w:r>
    </w:p>
    <w:p w14:paraId="5B9D8D49" w14:textId="1721CE22" w:rsidR="00F8215C" w:rsidRPr="00933AD6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 xml:space="preserve">Access to a car and full driving licence </w:t>
      </w:r>
    </w:p>
    <w:p w14:paraId="5A4F130A" w14:textId="30DE4F86" w:rsidR="00C05F3F" w:rsidRPr="00674D66" w:rsidRDefault="00C05F3F" w:rsidP="00C05F3F">
      <w:pPr>
        <w:rPr>
          <w:b/>
          <w:bCs/>
        </w:rPr>
      </w:pPr>
      <w:r w:rsidRPr="00674D66">
        <w:rPr>
          <w:b/>
          <w:bCs/>
        </w:rPr>
        <w:t>Person Specification </w:t>
      </w:r>
    </w:p>
    <w:p w14:paraId="269A3F6D" w14:textId="77777777" w:rsidR="00C05F3F" w:rsidRPr="00F8215C" w:rsidRDefault="00C05F3F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>Understanding of the principles of community development and social inclusion</w:t>
      </w:r>
    </w:p>
    <w:p w14:paraId="067FF571" w14:textId="77777777" w:rsidR="00C05F3F" w:rsidRPr="00F8215C" w:rsidRDefault="00C05F3F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>Passionate about making a positive change in the lives of marginalised young people and understand the obstacles facing young people within an area of social exclusion</w:t>
      </w:r>
    </w:p>
    <w:p w14:paraId="75F7B668" w14:textId="50D84DFA" w:rsidR="00C05F3F" w:rsidRPr="00F8215C" w:rsidRDefault="00C05F3F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>Good interpersonal skills, including ability to liaise and work with a wide range of contacts and build and maintain effective working relationships with multiple stakeholders</w:t>
      </w:r>
    </w:p>
    <w:p w14:paraId="3B1DA320" w14:textId="14678E23" w:rsidR="00C05F3F" w:rsidRPr="00F8215C" w:rsidRDefault="00C05F3F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>Ability to work proactively and use own initiative effectively within a pressurised environment</w:t>
      </w:r>
    </w:p>
    <w:p w14:paraId="7B07D977" w14:textId="153459D9" w:rsidR="00C05F3F" w:rsidRPr="00F8215C" w:rsidRDefault="00C05F3F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>Positive and flexible approach to team working</w:t>
      </w:r>
    </w:p>
    <w:p w14:paraId="772E9813" w14:textId="6FA48F1D" w:rsidR="00C05F3F" w:rsidRPr="00F8215C" w:rsidRDefault="00674D66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Highly </w:t>
      </w:r>
      <w:r w:rsidR="00C05F3F" w:rsidRPr="00F8215C">
        <w:rPr>
          <w:rFonts w:cs="Times New Roman"/>
          <w:color w:val="000000" w:themeColor="text1"/>
        </w:rPr>
        <w:t>skilled, motivated, energetic and dynamic</w:t>
      </w:r>
    </w:p>
    <w:p w14:paraId="518CF5D4" w14:textId="77777777" w:rsidR="00C05F3F" w:rsidRPr="00F8215C" w:rsidRDefault="00C05F3F" w:rsidP="00F821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F8215C">
        <w:rPr>
          <w:rFonts w:cs="Times New Roman"/>
          <w:color w:val="000000" w:themeColor="text1"/>
        </w:rPr>
        <w:t>Excellent interpersonal and written communication skills</w:t>
      </w:r>
    </w:p>
    <w:p w14:paraId="27BFB9A2" w14:textId="77777777" w:rsidR="00C05F3F" w:rsidRPr="00680077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680077">
        <w:rPr>
          <w:rFonts w:cs="Times New Roman"/>
          <w:color w:val="000000" w:themeColor="text1"/>
        </w:rPr>
        <w:t>Understanding of financial systems/procedures</w:t>
      </w:r>
    </w:p>
    <w:p w14:paraId="71CEE0D1" w14:textId="2D62BB58" w:rsidR="00F8215C" w:rsidRPr="008F79DB" w:rsidRDefault="00C05F3F" w:rsidP="00C05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680077">
        <w:rPr>
          <w:rFonts w:cs="Times New Roman"/>
          <w:color w:val="000000" w:themeColor="text1"/>
        </w:rPr>
        <w:t>Strong IT</w:t>
      </w:r>
      <w:r>
        <w:rPr>
          <w:rFonts w:cs="Times New Roman"/>
          <w:color w:val="000000" w:themeColor="text1"/>
        </w:rPr>
        <w:t xml:space="preserve"> and </w:t>
      </w:r>
      <w:r w:rsidRPr="00680077">
        <w:rPr>
          <w:rFonts w:cs="Times New Roman"/>
          <w:color w:val="000000" w:themeColor="text1"/>
        </w:rPr>
        <w:t>digital media skills</w:t>
      </w:r>
    </w:p>
    <w:p w14:paraId="3E510936" w14:textId="46421FE8" w:rsidR="00C05F3F" w:rsidRPr="00680077" w:rsidRDefault="00C05F3F" w:rsidP="00C05F3F">
      <w:pPr>
        <w:rPr>
          <w:rFonts w:eastAsia="Batang" w:cstheme="minorHAnsi"/>
          <w:b/>
          <w:bCs/>
        </w:rPr>
      </w:pPr>
      <w:r w:rsidRPr="00680077">
        <w:rPr>
          <w:rFonts w:eastAsia="Batang" w:cstheme="minorHAnsi"/>
          <w:b/>
          <w:bCs/>
        </w:rPr>
        <w:t>Other</w:t>
      </w:r>
    </w:p>
    <w:p w14:paraId="45DB38A1" w14:textId="434B3609" w:rsidR="00C05F3F" w:rsidRDefault="00C05F3F" w:rsidP="00C05F3F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lang w:eastAsia="en-IE"/>
        </w:rPr>
      </w:pPr>
      <w:r w:rsidRPr="00680077">
        <w:rPr>
          <w:rFonts w:cstheme="minorHAnsi"/>
          <w:lang w:eastAsia="en-IE"/>
        </w:rPr>
        <w:t>Garda Vetting will apply to this role</w:t>
      </w:r>
      <w:r w:rsidR="008F1936">
        <w:rPr>
          <w:rFonts w:cstheme="minorHAnsi"/>
          <w:lang w:eastAsia="en-IE"/>
        </w:rPr>
        <w:t xml:space="preserve">. </w:t>
      </w:r>
    </w:p>
    <w:p w14:paraId="7EB3EFD0" w14:textId="4B66AF0B" w:rsidR="00DF41FA" w:rsidRDefault="00BD1ED7" w:rsidP="00F12428">
      <w:pPr>
        <w:spacing w:line="276" w:lineRule="auto"/>
        <w:ind w:left="2160" w:hanging="2160"/>
        <w:rPr>
          <w:rFonts w:cstheme="minorHAnsi"/>
          <w:lang w:eastAsia="en-IE"/>
        </w:rPr>
      </w:pPr>
      <w:r w:rsidRPr="00F12428">
        <w:rPr>
          <w:rFonts w:cstheme="minorHAnsi"/>
          <w:b/>
          <w:bCs/>
          <w:lang w:eastAsia="en-IE"/>
        </w:rPr>
        <w:t>Contracts:</w:t>
      </w:r>
      <w:r>
        <w:rPr>
          <w:rFonts w:cstheme="minorHAnsi"/>
          <w:lang w:eastAsia="en-IE"/>
        </w:rPr>
        <w:tab/>
        <w:t xml:space="preserve">1 year fixed term Contract (with probation </w:t>
      </w:r>
      <w:r w:rsidR="00F60166">
        <w:rPr>
          <w:rFonts w:cstheme="minorHAnsi"/>
          <w:lang w:eastAsia="en-IE"/>
        </w:rPr>
        <w:t xml:space="preserve">of 6 months). Opportunity to extend </w:t>
      </w:r>
      <w:r w:rsidR="00F12428">
        <w:rPr>
          <w:rFonts w:cstheme="minorHAnsi"/>
          <w:lang w:eastAsia="en-IE"/>
        </w:rPr>
        <w:t>contract subject to funding</w:t>
      </w:r>
    </w:p>
    <w:p w14:paraId="7862E366" w14:textId="7305210F" w:rsidR="00F12428" w:rsidRPr="00DF41FA" w:rsidRDefault="00F12428" w:rsidP="001610AB">
      <w:pPr>
        <w:spacing w:line="276" w:lineRule="auto"/>
        <w:ind w:left="2160" w:hanging="2160"/>
        <w:rPr>
          <w:rFonts w:cstheme="minorHAnsi"/>
          <w:lang w:eastAsia="en-IE"/>
        </w:rPr>
      </w:pPr>
      <w:r>
        <w:rPr>
          <w:rFonts w:cstheme="minorHAnsi"/>
          <w:b/>
          <w:bCs/>
          <w:lang w:eastAsia="en-IE"/>
        </w:rPr>
        <w:t>Hours of work:</w:t>
      </w:r>
      <w:r>
        <w:rPr>
          <w:rFonts w:cstheme="minorHAnsi"/>
          <w:lang w:eastAsia="en-IE"/>
        </w:rPr>
        <w:tab/>
        <w:t xml:space="preserve">28 hours per week- Tuesday- Friday (out of hours evening and occasional </w:t>
      </w:r>
      <w:r w:rsidR="001610AB">
        <w:rPr>
          <w:rFonts w:cstheme="minorHAnsi"/>
          <w:lang w:eastAsia="en-IE"/>
        </w:rPr>
        <w:t>weekend  work will be required for this role)</w:t>
      </w:r>
    </w:p>
    <w:p w14:paraId="7E3CD364" w14:textId="2F927242" w:rsidR="00DF41FA" w:rsidRDefault="001610AB" w:rsidP="00C05F3F">
      <w:r w:rsidRPr="00B109FA">
        <w:rPr>
          <w:b/>
          <w:bCs/>
        </w:rPr>
        <w:t>Salary:</w:t>
      </w:r>
      <w:r>
        <w:tab/>
      </w:r>
      <w:r>
        <w:tab/>
      </w:r>
      <w:r>
        <w:tab/>
        <w:t xml:space="preserve">Salary will be based on point 1 of SDCP’s Project </w:t>
      </w:r>
      <w:r w:rsidR="00B109FA">
        <w:t>Worker scale €3</w:t>
      </w:r>
      <w:r w:rsidR="006A5DE4">
        <w:t>5</w:t>
      </w:r>
      <w:r w:rsidR="00B109FA">
        <w:t>,</w:t>
      </w:r>
      <w:r w:rsidR="006A5DE4">
        <w:t>876</w:t>
      </w:r>
      <w:r w:rsidR="00B109FA">
        <w:t xml:space="preserve"> pro rata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3585"/>
      </w:tblGrid>
      <w:tr w:rsidR="004B623E" w:rsidRPr="004B623E" w14:paraId="33EB9F95" w14:textId="77777777" w:rsidTr="00F07403">
        <w:trPr>
          <w:trHeight w:val="315"/>
        </w:trPr>
        <w:tc>
          <w:tcPr>
            <w:tcW w:w="4285" w:type="dxa"/>
            <w:gridSpan w:val="2"/>
            <w:noWrap/>
            <w:hideMark/>
          </w:tcPr>
          <w:p w14:paraId="40CF3114" w14:textId="77777777" w:rsidR="004B623E" w:rsidRPr="004B623E" w:rsidRDefault="004B623E" w:rsidP="004B623E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23E"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Project Worker Salary Scale</w:t>
            </w:r>
          </w:p>
          <w:p w14:paraId="679AACFF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highlight w:val="yellow"/>
                <w:shd w:val="clear" w:color="auto" w:fill="FFFFFF"/>
              </w:rPr>
            </w:pPr>
          </w:p>
        </w:tc>
      </w:tr>
      <w:tr w:rsidR="004B623E" w:rsidRPr="004B623E" w14:paraId="29182DB1" w14:textId="77777777" w:rsidTr="00F07403">
        <w:trPr>
          <w:trHeight w:val="315"/>
        </w:trPr>
        <w:tc>
          <w:tcPr>
            <w:tcW w:w="700" w:type="dxa"/>
            <w:noWrap/>
            <w:hideMark/>
          </w:tcPr>
          <w:p w14:paraId="7155F503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>Point</w:t>
            </w:r>
          </w:p>
        </w:tc>
        <w:tc>
          <w:tcPr>
            <w:tcW w:w="3585" w:type="dxa"/>
            <w:noWrap/>
            <w:hideMark/>
          </w:tcPr>
          <w:p w14:paraId="09A564C9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>Salary</w:t>
            </w:r>
          </w:p>
        </w:tc>
      </w:tr>
      <w:tr w:rsidR="004B623E" w:rsidRPr="004B623E" w14:paraId="6D04478B" w14:textId="77777777" w:rsidTr="00F07403">
        <w:trPr>
          <w:trHeight w:val="315"/>
        </w:trPr>
        <w:tc>
          <w:tcPr>
            <w:tcW w:w="700" w:type="dxa"/>
            <w:noWrap/>
            <w:hideMark/>
          </w:tcPr>
          <w:p w14:paraId="1F9D9B65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1</w:t>
            </w:r>
          </w:p>
        </w:tc>
        <w:tc>
          <w:tcPr>
            <w:tcW w:w="3585" w:type="dxa"/>
            <w:noWrap/>
            <w:hideMark/>
          </w:tcPr>
          <w:p w14:paraId="7C5F3F17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€35,876</w:t>
            </w:r>
          </w:p>
        </w:tc>
      </w:tr>
      <w:tr w:rsidR="004B623E" w:rsidRPr="004B623E" w14:paraId="2A3BE959" w14:textId="77777777" w:rsidTr="00F07403">
        <w:trPr>
          <w:trHeight w:val="315"/>
        </w:trPr>
        <w:tc>
          <w:tcPr>
            <w:tcW w:w="700" w:type="dxa"/>
            <w:noWrap/>
            <w:hideMark/>
          </w:tcPr>
          <w:p w14:paraId="583998CE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2</w:t>
            </w:r>
          </w:p>
        </w:tc>
        <w:tc>
          <w:tcPr>
            <w:tcW w:w="3585" w:type="dxa"/>
            <w:noWrap/>
            <w:hideMark/>
          </w:tcPr>
          <w:p w14:paraId="34A7F3AC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€38,490</w:t>
            </w:r>
          </w:p>
        </w:tc>
      </w:tr>
      <w:tr w:rsidR="004B623E" w:rsidRPr="004B623E" w14:paraId="5C870DB2" w14:textId="77777777" w:rsidTr="00F07403">
        <w:trPr>
          <w:trHeight w:val="315"/>
        </w:trPr>
        <w:tc>
          <w:tcPr>
            <w:tcW w:w="700" w:type="dxa"/>
            <w:noWrap/>
            <w:hideMark/>
          </w:tcPr>
          <w:p w14:paraId="5773C955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3</w:t>
            </w:r>
          </w:p>
        </w:tc>
        <w:tc>
          <w:tcPr>
            <w:tcW w:w="3585" w:type="dxa"/>
            <w:noWrap/>
            <w:hideMark/>
          </w:tcPr>
          <w:p w14:paraId="0FFF9F18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€40,506</w:t>
            </w:r>
          </w:p>
        </w:tc>
      </w:tr>
      <w:tr w:rsidR="004B623E" w:rsidRPr="004B623E" w14:paraId="44EF5385" w14:textId="77777777" w:rsidTr="00F07403">
        <w:trPr>
          <w:trHeight w:val="315"/>
        </w:trPr>
        <w:tc>
          <w:tcPr>
            <w:tcW w:w="700" w:type="dxa"/>
            <w:noWrap/>
            <w:hideMark/>
          </w:tcPr>
          <w:p w14:paraId="4425456C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4</w:t>
            </w:r>
          </w:p>
        </w:tc>
        <w:tc>
          <w:tcPr>
            <w:tcW w:w="3585" w:type="dxa"/>
            <w:noWrap/>
            <w:hideMark/>
          </w:tcPr>
          <w:p w14:paraId="64E51F51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€42,455</w:t>
            </w:r>
          </w:p>
        </w:tc>
      </w:tr>
      <w:tr w:rsidR="004B623E" w:rsidRPr="004B623E" w14:paraId="10B7210B" w14:textId="77777777" w:rsidTr="00F07403">
        <w:trPr>
          <w:trHeight w:val="315"/>
        </w:trPr>
        <w:tc>
          <w:tcPr>
            <w:tcW w:w="700" w:type="dxa"/>
            <w:noWrap/>
            <w:hideMark/>
          </w:tcPr>
          <w:p w14:paraId="2C640124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5</w:t>
            </w:r>
          </w:p>
        </w:tc>
        <w:tc>
          <w:tcPr>
            <w:tcW w:w="3585" w:type="dxa"/>
            <w:noWrap/>
            <w:hideMark/>
          </w:tcPr>
          <w:p w14:paraId="138C842B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€44,397</w:t>
            </w:r>
          </w:p>
        </w:tc>
      </w:tr>
      <w:tr w:rsidR="004B623E" w:rsidRPr="004B623E" w14:paraId="6E907694" w14:textId="77777777" w:rsidTr="00F07403">
        <w:trPr>
          <w:trHeight w:val="315"/>
        </w:trPr>
        <w:tc>
          <w:tcPr>
            <w:tcW w:w="700" w:type="dxa"/>
            <w:noWrap/>
            <w:hideMark/>
          </w:tcPr>
          <w:p w14:paraId="5C7B580B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6</w:t>
            </w:r>
          </w:p>
        </w:tc>
        <w:tc>
          <w:tcPr>
            <w:tcW w:w="3585" w:type="dxa"/>
            <w:noWrap/>
            <w:hideMark/>
          </w:tcPr>
          <w:p w14:paraId="02ED8EEB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€46,300</w:t>
            </w:r>
          </w:p>
        </w:tc>
      </w:tr>
      <w:tr w:rsidR="004B623E" w:rsidRPr="004B623E" w14:paraId="021FD45C" w14:textId="77777777" w:rsidTr="00F07403">
        <w:trPr>
          <w:trHeight w:val="330"/>
        </w:trPr>
        <w:tc>
          <w:tcPr>
            <w:tcW w:w="700" w:type="dxa"/>
            <w:noWrap/>
            <w:hideMark/>
          </w:tcPr>
          <w:p w14:paraId="3722083A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7</w:t>
            </w:r>
          </w:p>
        </w:tc>
        <w:tc>
          <w:tcPr>
            <w:tcW w:w="3585" w:type="dxa"/>
            <w:noWrap/>
            <w:hideMark/>
          </w:tcPr>
          <w:p w14:paraId="2FA2583C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€48,220</w:t>
            </w:r>
          </w:p>
        </w:tc>
      </w:tr>
      <w:tr w:rsidR="004B623E" w:rsidRPr="004B623E" w14:paraId="5224758F" w14:textId="77777777" w:rsidTr="00F07403">
        <w:trPr>
          <w:trHeight w:val="330"/>
        </w:trPr>
        <w:tc>
          <w:tcPr>
            <w:tcW w:w="700" w:type="dxa"/>
            <w:noWrap/>
          </w:tcPr>
          <w:p w14:paraId="1A2289BE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8</w:t>
            </w:r>
          </w:p>
        </w:tc>
        <w:tc>
          <w:tcPr>
            <w:tcW w:w="3585" w:type="dxa"/>
            <w:noWrap/>
          </w:tcPr>
          <w:p w14:paraId="3A0AF9F8" w14:textId="77777777" w:rsidR="004B623E" w:rsidRPr="004B623E" w:rsidRDefault="004B623E" w:rsidP="004B623E">
            <w:pPr>
              <w:shd w:val="clear" w:color="auto" w:fill="FFFFFF"/>
              <w:contextualSpacing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€50,089</w:t>
            </w:r>
          </w:p>
        </w:tc>
      </w:tr>
      <w:tr w:rsidR="004B623E" w:rsidRPr="004B623E" w14:paraId="3BF13725" w14:textId="77777777" w:rsidTr="00F07403">
        <w:trPr>
          <w:trHeight w:val="330"/>
        </w:trPr>
        <w:tc>
          <w:tcPr>
            <w:tcW w:w="700" w:type="dxa"/>
            <w:noWrap/>
          </w:tcPr>
          <w:p w14:paraId="5BBEE050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9*</w:t>
            </w:r>
          </w:p>
        </w:tc>
        <w:tc>
          <w:tcPr>
            <w:tcW w:w="3585" w:type="dxa"/>
            <w:noWrap/>
          </w:tcPr>
          <w:p w14:paraId="44B05672" w14:textId="77777777" w:rsidR="004B623E" w:rsidRPr="004B623E" w:rsidRDefault="004B623E" w:rsidP="004B623E">
            <w:pPr>
              <w:shd w:val="clear" w:color="auto" w:fill="FFFFFF"/>
              <w:contextualSpacing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€52,014</w:t>
            </w:r>
          </w:p>
        </w:tc>
      </w:tr>
      <w:tr w:rsidR="004B623E" w:rsidRPr="004B623E" w14:paraId="792A40A2" w14:textId="77777777" w:rsidTr="00F07403">
        <w:trPr>
          <w:trHeight w:val="330"/>
        </w:trPr>
        <w:tc>
          <w:tcPr>
            <w:tcW w:w="700" w:type="dxa"/>
            <w:noWrap/>
          </w:tcPr>
          <w:p w14:paraId="2FDD5737" w14:textId="77777777" w:rsidR="004B623E" w:rsidRPr="004B623E" w:rsidRDefault="004B623E" w:rsidP="004B623E">
            <w:pPr>
              <w:shd w:val="clear" w:color="auto" w:fill="FFFFFF"/>
              <w:contextualSpacing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shd w:val="clear" w:color="auto" w:fill="FFFFFF"/>
              </w:rPr>
              <w:t>10**</w:t>
            </w:r>
          </w:p>
        </w:tc>
        <w:tc>
          <w:tcPr>
            <w:tcW w:w="3585" w:type="dxa"/>
            <w:noWrap/>
          </w:tcPr>
          <w:p w14:paraId="5967AB7A" w14:textId="77777777" w:rsidR="004B623E" w:rsidRPr="004B623E" w:rsidRDefault="004B623E" w:rsidP="004B623E">
            <w:pPr>
              <w:shd w:val="clear" w:color="auto" w:fill="FFFFFF"/>
              <w:contextualSpacing/>
              <w:rPr>
                <w:rFonts w:ascii="Calibri" w:eastAsia="Calibri" w:hAnsi="Calibri" w:cs="Calibri"/>
                <w:b/>
                <w:bCs/>
                <w:shd w:val="clear" w:color="auto" w:fill="FFFFFF"/>
              </w:rPr>
            </w:pPr>
            <w:r w:rsidRPr="004B623E">
              <w:rPr>
                <w:rFonts w:ascii="Calibri" w:eastAsia="Calibri" w:hAnsi="Calibri" w:cs="Calibri"/>
                <w:b/>
                <w:bCs/>
                <w:shd w:val="clear" w:color="auto" w:fill="FFFFFF"/>
              </w:rPr>
              <w:t xml:space="preserve">    €53,289</w:t>
            </w:r>
          </w:p>
        </w:tc>
      </w:tr>
    </w:tbl>
    <w:p w14:paraId="64FE7478" w14:textId="77777777" w:rsidR="004B623E" w:rsidRPr="004B623E" w:rsidRDefault="004B623E" w:rsidP="004B623E">
      <w:p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shd w:val="clear" w:color="auto" w:fill="FFFFFF"/>
        </w:rPr>
      </w:pPr>
    </w:p>
    <w:p w14:paraId="10C715E9" w14:textId="77777777" w:rsidR="004B623E" w:rsidRPr="004B623E" w:rsidRDefault="004B623E" w:rsidP="004B623E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i/>
          <w:iCs/>
          <w:shd w:val="clear" w:color="auto" w:fill="FFFFFF"/>
        </w:rPr>
      </w:pPr>
      <w:r w:rsidRPr="004B623E">
        <w:rPr>
          <w:rFonts w:ascii="Calibri" w:eastAsia="Calibri" w:hAnsi="Calibri" w:cs="Calibri"/>
          <w:i/>
          <w:iCs/>
          <w:shd w:val="clear" w:color="auto" w:fill="FFFFFF"/>
        </w:rPr>
        <w:t>* Long Service after 3 years on Point 8</w:t>
      </w:r>
    </w:p>
    <w:p w14:paraId="40A037DA" w14:textId="77777777" w:rsidR="004B623E" w:rsidRDefault="004B623E" w:rsidP="004B623E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i/>
          <w:iCs/>
          <w:shd w:val="clear" w:color="auto" w:fill="FFFFFF"/>
        </w:rPr>
      </w:pPr>
      <w:r w:rsidRPr="004B623E">
        <w:rPr>
          <w:rFonts w:ascii="Calibri" w:eastAsia="Calibri" w:hAnsi="Calibri" w:cs="Calibri"/>
          <w:i/>
          <w:iCs/>
          <w:shd w:val="clear" w:color="auto" w:fill="FFFFFF"/>
        </w:rPr>
        <w:t>** Long Service after 3 years on point 9</w:t>
      </w:r>
    </w:p>
    <w:p w14:paraId="5AB663F3" w14:textId="77777777" w:rsidR="008F79DB" w:rsidRDefault="008F79DB" w:rsidP="004B623E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i/>
          <w:iCs/>
          <w:shd w:val="clear" w:color="auto" w:fill="FFFFFF"/>
        </w:rPr>
      </w:pPr>
    </w:p>
    <w:p w14:paraId="5D8B867A" w14:textId="77777777" w:rsidR="004B623E" w:rsidRPr="004B623E" w:rsidRDefault="004B623E" w:rsidP="004B623E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i/>
          <w:iCs/>
          <w:shd w:val="clear" w:color="auto" w:fill="FFFFFF"/>
        </w:rPr>
      </w:pPr>
    </w:p>
    <w:p w14:paraId="4CB2DFD2" w14:textId="77777777" w:rsidR="004B623E" w:rsidRPr="004B623E" w:rsidRDefault="004B623E" w:rsidP="004B623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4B623E">
        <w:rPr>
          <w:rFonts w:ascii="Calibri" w:eastAsia="Calibri" w:hAnsi="Calibri" w:cs="Calibri"/>
          <w:shd w:val="clear" w:color="auto" w:fill="FFFFFF"/>
        </w:rPr>
        <w:t>Competitive employer pension provision after probation is passed (10% Employer contribution, 5% Employee contribution)</w:t>
      </w:r>
    </w:p>
    <w:p w14:paraId="34FBB537" w14:textId="77777777" w:rsidR="004B623E" w:rsidRPr="004B623E" w:rsidRDefault="004B623E" w:rsidP="004B623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4B623E">
        <w:rPr>
          <w:rFonts w:ascii="Calibri" w:eastAsia="Calibri" w:hAnsi="Calibri" w:cs="Calibri"/>
          <w:shd w:val="clear" w:color="auto" w:fill="FFFFFF"/>
        </w:rPr>
        <w:t>Access to Hospital Saturday Fund low-cost health plan</w:t>
      </w:r>
    </w:p>
    <w:p w14:paraId="3763CEC8" w14:textId="77777777" w:rsidR="004B623E" w:rsidRPr="004B623E" w:rsidRDefault="004B623E" w:rsidP="004B623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Calibri" w:hAnsi="Calibri" w:cs="Calibri"/>
          <w:shd w:val="clear" w:color="auto" w:fill="FFFFFF"/>
        </w:rPr>
      </w:pPr>
      <w:r w:rsidRPr="004B623E">
        <w:rPr>
          <w:rFonts w:ascii="Calibri" w:eastAsia="Calibri" w:hAnsi="Calibri" w:cs="Calibri"/>
          <w:shd w:val="clear" w:color="auto" w:fill="FFFFFF"/>
        </w:rPr>
        <w:t>Access to Employee Assistance Programme (EAP)</w:t>
      </w:r>
    </w:p>
    <w:p w14:paraId="0B00934B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  <w:b/>
          <w:bCs/>
        </w:rPr>
      </w:pPr>
    </w:p>
    <w:p w14:paraId="301F6669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  <w:b/>
          <w:bCs/>
        </w:rPr>
      </w:pPr>
      <w:r w:rsidRPr="004B623E">
        <w:rPr>
          <w:rFonts w:ascii="Calibri" w:eastAsia="Aptos" w:hAnsi="Calibri" w:cs="Calibri"/>
          <w:b/>
          <w:bCs/>
        </w:rPr>
        <w:t>Application Process</w:t>
      </w:r>
    </w:p>
    <w:p w14:paraId="3FA88C88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</w:rPr>
      </w:pPr>
    </w:p>
    <w:p w14:paraId="402414B3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</w:rPr>
      </w:pPr>
      <w:r w:rsidRPr="004B623E">
        <w:rPr>
          <w:rFonts w:ascii="Calibri" w:eastAsia="Aptos" w:hAnsi="Calibri" w:cs="Calibri"/>
        </w:rPr>
        <w:t>Applicants should pay particular attention to the essential and desirable criteria in the job description, your suitability and why you are the best candidate for this post in question.</w:t>
      </w:r>
    </w:p>
    <w:p w14:paraId="433AE1F5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</w:rPr>
      </w:pPr>
    </w:p>
    <w:p w14:paraId="44FB400E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</w:rPr>
      </w:pPr>
      <w:r w:rsidRPr="004B623E">
        <w:rPr>
          <w:rFonts w:ascii="Calibri" w:eastAsia="Aptos" w:hAnsi="Calibri" w:cs="Calibri"/>
        </w:rPr>
        <w:t xml:space="preserve">Please send an up-to-date detailed CV (no more than 3 pages) which will include the name and contact details of two references, plus a one-page cover letter which will clearly outline how you meet the specific criteria relating to this role. </w:t>
      </w:r>
    </w:p>
    <w:p w14:paraId="75D540EF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</w:rPr>
      </w:pPr>
    </w:p>
    <w:p w14:paraId="11290797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  <w:i/>
          <w:iCs/>
        </w:rPr>
      </w:pPr>
      <w:r w:rsidRPr="004B623E">
        <w:rPr>
          <w:rFonts w:ascii="Calibri" w:eastAsia="Aptos" w:hAnsi="Calibri" w:cs="Calibri"/>
          <w:i/>
          <w:iCs/>
        </w:rPr>
        <w:t>NOTE: no contact will be made with referees before a job offer is made.</w:t>
      </w:r>
    </w:p>
    <w:p w14:paraId="6E14DB95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  <w:i/>
          <w:iCs/>
        </w:rPr>
      </w:pPr>
    </w:p>
    <w:p w14:paraId="3138D805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</w:rPr>
      </w:pPr>
    </w:p>
    <w:p w14:paraId="6CC3F914" w14:textId="53EC5AB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  <w:b/>
          <w:lang w:val="en-GB"/>
        </w:rPr>
      </w:pPr>
      <w:r w:rsidRPr="004B623E">
        <w:rPr>
          <w:rFonts w:ascii="Calibri" w:eastAsia="Aptos" w:hAnsi="Calibri" w:cs="Calibri"/>
          <w:b/>
          <w:bCs/>
          <w:lang w:val="en-GB"/>
        </w:rPr>
        <w:t xml:space="preserve">Email your CV and cover letter, with the reference </w:t>
      </w:r>
      <w:r w:rsidR="00026C5C">
        <w:rPr>
          <w:rFonts w:ascii="Calibri" w:eastAsia="Aptos" w:hAnsi="Calibri" w:cs="Calibri"/>
          <w:b/>
          <w:bCs/>
          <w:lang w:val="en-GB"/>
        </w:rPr>
        <w:t xml:space="preserve">UBU Balgaddy Youth </w:t>
      </w:r>
      <w:r w:rsidRPr="004B623E">
        <w:rPr>
          <w:rFonts w:ascii="Calibri" w:eastAsia="Aptos" w:hAnsi="Calibri" w:cs="Calibri"/>
          <w:b/>
          <w:lang w:val="en-GB"/>
        </w:rPr>
        <w:t xml:space="preserve">Worker </w:t>
      </w:r>
      <w:r w:rsidRPr="004B623E">
        <w:rPr>
          <w:rFonts w:ascii="Calibri" w:eastAsia="Aptos" w:hAnsi="Calibri" w:cs="Calibri"/>
          <w:b/>
          <w:bCs/>
          <w:lang w:val="en-GB"/>
        </w:rPr>
        <w:t>Ref: 22</w:t>
      </w:r>
      <w:r w:rsidR="00026C5C">
        <w:rPr>
          <w:rFonts w:ascii="Calibri" w:eastAsia="Aptos" w:hAnsi="Calibri" w:cs="Calibri"/>
          <w:b/>
          <w:bCs/>
          <w:lang w:val="en-GB"/>
        </w:rPr>
        <w:t>8</w:t>
      </w:r>
      <w:r w:rsidRPr="004B623E">
        <w:rPr>
          <w:rFonts w:ascii="Calibri" w:eastAsia="Aptos" w:hAnsi="Calibri" w:cs="Calibri"/>
          <w:b/>
          <w:bCs/>
          <w:lang w:val="en-GB"/>
        </w:rPr>
        <w:t>/2026 </w:t>
      </w:r>
      <w:r w:rsidRPr="004B623E">
        <w:rPr>
          <w:rFonts w:ascii="Calibri" w:eastAsia="Aptos" w:hAnsi="Calibri" w:cs="Calibri"/>
          <w:lang w:val="en-GB"/>
        </w:rPr>
        <w:t>to:</w:t>
      </w:r>
    </w:p>
    <w:p w14:paraId="3537561F" w14:textId="3ABA9648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  <w:b/>
          <w:bCs/>
          <w:lang w:val="en-GB"/>
        </w:rPr>
      </w:pPr>
      <w:hyperlink r:id="rId10" w:history="1">
        <w:r w:rsidRPr="004B623E">
          <w:rPr>
            <w:rFonts w:ascii="Calibri" w:eastAsia="Aptos" w:hAnsi="Calibri" w:cs="Calibri"/>
            <w:b/>
            <w:bCs/>
            <w:color w:val="467886"/>
            <w:u w:val="single"/>
            <w:lang w:val="en-GB"/>
          </w:rPr>
          <w:t>jobs@sdcpartnership.ie</w:t>
        </w:r>
      </w:hyperlink>
      <w:r w:rsidRPr="004B623E">
        <w:rPr>
          <w:rFonts w:ascii="Calibri" w:eastAsia="Aptos" w:hAnsi="Calibri" w:cs="Calibri"/>
          <w:b/>
          <w:bCs/>
          <w:lang w:val="en-GB"/>
        </w:rPr>
        <w:t xml:space="preserve"> </w:t>
      </w:r>
    </w:p>
    <w:p w14:paraId="26EFC5CB" w14:textId="77777777" w:rsidR="004B623E" w:rsidRPr="004B623E" w:rsidRDefault="004B623E" w:rsidP="004B623E">
      <w:pPr>
        <w:spacing w:after="0" w:line="240" w:lineRule="auto"/>
        <w:rPr>
          <w:rFonts w:ascii="Calibri" w:eastAsia="Aptos" w:hAnsi="Calibri" w:cs="Calibri"/>
          <w:b/>
          <w:bCs/>
          <w:lang w:val="en-GB"/>
        </w:rPr>
      </w:pPr>
    </w:p>
    <w:p w14:paraId="5783D11D" w14:textId="3DF7392A" w:rsidR="004B623E" w:rsidRPr="004B623E" w:rsidRDefault="004B623E" w:rsidP="004B623E">
      <w:pPr>
        <w:spacing w:after="0" w:line="360" w:lineRule="auto"/>
        <w:rPr>
          <w:rFonts w:ascii="Calibri" w:eastAsia="Aptos" w:hAnsi="Calibri" w:cs="Calibri"/>
        </w:rPr>
      </w:pPr>
      <w:r w:rsidRPr="004B623E">
        <w:rPr>
          <w:rFonts w:ascii="Calibri" w:eastAsia="Aptos" w:hAnsi="Calibri" w:cs="Calibri"/>
        </w:rPr>
        <w:t>Closing date for receipt of applications: </w:t>
      </w:r>
      <w:r w:rsidRPr="004B623E">
        <w:rPr>
          <w:rFonts w:ascii="Calibri" w:eastAsia="Aptos" w:hAnsi="Calibri" w:cs="Calibri"/>
          <w:b/>
          <w:bCs/>
        </w:rPr>
        <w:t>T</w:t>
      </w:r>
      <w:r w:rsidR="00BA022F">
        <w:rPr>
          <w:rFonts w:ascii="Calibri" w:eastAsia="Aptos" w:hAnsi="Calibri" w:cs="Calibri"/>
          <w:b/>
          <w:bCs/>
        </w:rPr>
        <w:t>uesday</w:t>
      </w:r>
      <w:r w:rsidRPr="004B623E">
        <w:rPr>
          <w:rFonts w:ascii="Calibri" w:eastAsia="Aptos" w:hAnsi="Calibri" w:cs="Calibri"/>
          <w:b/>
          <w:bCs/>
        </w:rPr>
        <w:t xml:space="preserve"> </w:t>
      </w:r>
      <w:r w:rsidR="00A83EB2">
        <w:rPr>
          <w:rFonts w:ascii="Calibri" w:eastAsia="Aptos" w:hAnsi="Calibri" w:cs="Calibri"/>
          <w:b/>
          <w:bCs/>
        </w:rPr>
        <w:t>19</w:t>
      </w:r>
      <w:r w:rsidR="00221CD8" w:rsidRPr="00221CD8">
        <w:rPr>
          <w:rFonts w:ascii="Calibri" w:eastAsia="Aptos" w:hAnsi="Calibri" w:cs="Calibri"/>
          <w:b/>
          <w:bCs/>
          <w:vertAlign w:val="superscript"/>
        </w:rPr>
        <w:t>th</w:t>
      </w:r>
      <w:r w:rsidRPr="004B623E">
        <w:rPr>
          <w:rFonts w:ascii="Calibri" w:eastAsia="Aptos" w:hAnsi="Calibri" w:cs="Calibri"/>
          <w:b/>
          <w:bCs/>
        </w:rPr>
        <w:t xml:space="preserve"> May, 5pm.</w:t>
      </w:r>
    </w:p>
    <w:p w14:paraId="76FA339A" w14:textId="77777777" w:rsidR="004B623E" w:rsidRPr="004B623E" w:rsidRDefault="004B623E" w:rsidP="004B623E">
      <w:pPr>
        <w:spacing w:after="0" w:line="360" w:lineRule="auto"/>
        <w:rPr>
          <w:rFonts w:ascii="Calibri" w:eastAsia="Aptos" w:hAnsi="Calibri" w:cs="Calibri"/>
          <w:lang w:val="en-GB"/>
        </w:rPr>
      </w:pPr>
      <w:r w:rsidRPr="004B623E">
        <w:rPr>
          <w:rFonts w:ascii="Calibri" w:eastAsia="Aptos" w:hAnsi="Calibri" w:cs="Calibri"/>
          <w:lang w:val="en-GB"/>
        </w:rPr>
        <w:t>Note no late applications will be accepted.</w:t>
      </w:r>
    </w:p>
    <w:p w14:paraId="779A94A0" w14:textId="77777777" w:rsidR="004B623E" w:rsidRPr="004B623E" w:rsidRDefault="004B623E" w:rsidP="004D61EF">
      <w:pPr>
        <w:spacing w:after="0" w:line="360" w:lineRule="auto"/>
        <w:jc w:val="center"/>
        <w:rPr>
          <w:rFonts w:ascii="Calibri" w:eastAsia="Aptos" w:hAnsi="Calibri" w:cs="Calibri"/>
          <w:b/>
          <w:bCs/>
          <w:lang w:val="en-GB"/>
        </w:rPr>
      </w:pPr>
      <w:r w:rsidRPr="004B623E">
        <w:rPr>
          <w:rFonts w:ascii="Calibri" w:eastAsia="Aptos" w:hAnsi="Calibri" w:cs="Calibri"/>
          <w:b/>
          <w:bCs/>
          <w:i/>
          <w:iCs/>
          <w:lang w:val="en-GB"/>
        </w:rPr>
        <w:t>South Dublin County Partnership is an Equal Opportunities Employer.</w:t>
      </w:r>
    </w:p>
    <w:p w14:paraId="43F023D3" w14:textId="2ECB9EF5" w:rsidR="00C05F3F" w:rsidRDefault="00C05F3F" w:rsidP="00C05F3F"/>
    <w:p w14:paraId="44DEA9FC" w14:textId="77777777" w:rsidR="00EC1B0B" w:rsidRDefault="00EC1B0B" w:rsidP="00C05F3F"/>
    <w:p w14:paraId="7C62D79E" w14:textId="77777777" w:rsidR="006F6804" w:rsidRPr="006F6804" w:rsidRDefault="006F6804" w:rsidP="006F6804"/>
    <w:p w14:paraId="746F0E35" w14:textId="77777777" w:rsidR="006F6804" w:rsidRPr="006F6804" w:rsidRDefault="006F6804" w:rsidP="006F6804"/>
    <w:p w14:paraId="65BD7FA2" w14:textId="77777777" w:rsidR="006F6804" w:rsidRPr="006F6804" w:rsidRDefault="006F6804" w:rsidP="006F6804"/>
    <w:p w14:paraId="046B496A" w14:textId="77777777" w:rsidR="006F6804" w:rsidRPr="006F6804" w:rsidRDefault="006F6804" w:rsidP="006F6804"/>
    <w:p w14:paraId="58F34EC6" w14:textId="77777777" w:rsidR="006F6804" w:rsidRPr="006F6804" w:rsidRDefault="006F6804" w:rsidP="006F6804"/>
    <w:p w14:paraId="76E9D8D8" w14:textId="77777777" w:rsidR="006F6804" w:rsidRPr="006F6804" w:rsidRDefault="006F6804" w:rsidP="006F6804"/>
    <w:p w14:paraId="0B0F2F9C" w14:textId="3D66DBC3" w:rsidR="006F6804" w:rsidRDefault="006F6804" w:rsidP="006F6804">
      <w:pPr>
        <w:tabs>
          <w:tab w:val="left" w:pos="1905"/>
        </w:tabs>
      </w:pPr>
    </w:p>
    <w:p w14:paraId="6D483632" w14:textId="77777777" w:rsidR="006F6804" w:rsidRPr="006F6804" w:rsidRDefault="006F6804" w:rsidP="006F6804"/>
    <w:p w14:paraId="61FF68D8" w14:textId="77777777" w:rsidR="006F6804" w:rsidRPr="006F6804" w:rsidRDefault="006F6804" w:rsidP="006F6804"/>
    <w:p w14:paraId="4D70E27A" w14:textId="77777777" w:rsidR="006F6804" w:rsidRPr="006F6804" w:rsidRDefault="006F6804" w:rsidP="006F6804"/>
    <w:p w14:paraId="0BC3B59A" w14:textId="77777777" w:rsidR="006F6804" w:rsidRPr="006F6804" w:rsidRDefault="006F6804" w:rsidP="006F6804"/>
    <w:sectPr w:rsidR="006F6804" w:rsidRPr="006F6804" w:rsidSect="00253130">
      <w:headerReference w:type="default" r:id="rId11"/>
      <w:footerReference w:type="default" r:id="rId12"/>
      <w:pgSz w:w="11906" w:h="16838"/>
      <w:pgMar w:top="102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7038" w14:textId="77777777" w:rsidR="00794229" w:rsidRDefault="00794229">
      <w:pPr>
        <w:spacing w:after="0" w:line="240" w:lineRule="auto"/>
      </w:pPr>
      <w:r>
        <w:separator/>
      </w:r>
    </w:p>
  </w:endnote>
  <w:endnote w:type="continuationSeparator" w:id="0">
    <w:p w14:paraId="6737815C" w14:textId="77777777" w:rsidR="00794229" w:rsidRDefault="0079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A1D0" w14:textId="66F9255C" w:rsidR="00253130" w:rsidRDefault="00253130">
    <w:pPr>
      <w:pStyle w:val="Footer"/>
      <w:jc w:val="center"/>
    </w:pPr>
  </w:p>
  <w:p w14:paraId="382F736B" w14:textId="619F7560" w:rsidR="00253130" w:rsidRDefault="006F6804">
    <w:pPr>
      <w:pStyle w:val="Footer"/>
    </w:pPr>
    <w:r>
      <w:rPr>
        <w:noProof/>
      </w:rPr>
      <w:drawing>
        <wp:inline distT="0" distB="0" distL="0" distR="0" wp14:anchorId="61A74F76" wp14:editId="468B1B34">
          <wp:extent cx="6328410" cy="664210"/>
          <wp:effectExtent l="0" t="0" r="0" b="2540"/>
          <wp:docPr id="10757042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05F0" w14:textId="77777777" w:rsidR="00794229" w:rsidRDefault="00794229">
      <w:pPr>
        <w:spacing w:after="0" w:line="240" w:lineRule="auto"/>
      </w:pPr>
      <w:r>
        <w:separator/>
      </w:r>
    </w:p>
  </w:footnote>
  <w:footnote w:type="continuationSeparator" w:id="0">
    <w:p w14:paraId="2AFDC9FE" w14:textId="77777777" w:rsidR="00794229" w:rsidRDefault="0079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E0C2" w14:textId="66F6F956" w:rsidR="00253130" w:rsidRDefault="00253130">
    <w:pPr>
      <w:pStyle w:val="Header"/>
    </w:pPr>
    <w:r w:rsidRPr="00AC5E61">
      <w:rPr>
        <w:rFonts w:ascii="Calibri" w:eastAsia="Calibri" w:hAnsi="Calibri" w:cs="Times New Roman"/>
        <w:noProof/>
        <w:lang w:eastAsia="en-IE"/>
      </w:rPr>
      <w:drawing>
        <wp:inline distT="0" distB="0" distL="0" distR="0" wp14:anchorId="5A6BEB8A" wp14:editId="7937F848">
          <wp:extent cx="1562737" cy="584831"/>
          <wp:effectExtent l="0" t="0" r="0" b="0"/>
          <wp:docPr id="1" name="Picture 1" descr="cid:image001.png@01CFE3DA.2E72B9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737" cy="5848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63609">
      <w:t xml:space="preserve">                                                                                                                                      </w:t>
    </w:r>
    <w:r w:rsidR="00E63609">
      <w:rPr>
        <w:noProof/>
        <w14:ligatures w14:val="standardContextual"/>
      </w:rPr>
      <w:drawing>
        <wp:inline distT="0" distB="0" distL="0" distR="0" wp14:anchorId="64D237F0" wp14:editId="3FEA4587">
          <wp:extent cx="967105" cy="622121"/>
          <wp:effectExtent l="0" t="0" r="4445" b="6985"/>
          <wp:docPr id="2081459082" name="Picture 1" descr="A pin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459082" name="Picture 1" descr="A pink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9795" cy="63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1D10"/>
    <w:multiLevelType w:val="multilevel"/>
    <w:tmpl w:val="6B90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914EE"/>
    <w:multiLevelType w:val="multilevel"/>
    <w:tmpl w:val="2FA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352A18"/>
    <w:multiLevelType w:val="hybridMultilevel"/>
    <w:tmpl w:val="CE32E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C05"/>
    <w:multiLevelType w:val="hybridMultilevel"/>
    <w:tmpl w:val="E51881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330E6"/>
    <w:multiLevelType w:val="hybridMultilevel"/>
    <w:tmpl w:val="421A5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60957"/>
    <w:multiLevelType w:val="multilevel"/>
    <w:tmpl w:val="021A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F0E6A"/>
    <w:multiLevelType w:val="multilevel"/>
    <w:tmpl w:val="5038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1E0CC9"/>
    <w:multiLevelType w:val="hybridMultilevel"/>
    <w:tmpl w:val="A566D2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35873"/>
    <w:multiLevelType w:val="hybridMultilevel"/>
    <w:tmpl w:val="6B2604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39875054">
    <w:abstractNumId w:val="8"/>
  </w:num>
  <w:num w:numId="2" w16cid:durableId="1901940114">
    <w:abstractNumId w:val="7"/>
  </w:num>
  <w:num w:numId="3" w16cid:durableId="1980185289">
    <w:abstractNumId w:val="4"/>
  </w:num>
  <w:num w:numId="4" w16cid:durableId="388846188">
    <w:abstractNumId w:val="3"/>
  </w:num>
  <w:num w:numId="5" w16cid:durableId="395051494">
    <w:abstractNumId w:val="2"/>
  </w:num>
  <w:num w:numId="6" w16cid:durableId="896891555">
    <w:abstractNumId w:val="5"/>
  </w:num>
  <w:num w:numId="7" w16cid:durableId="522087472">
    <w:abstractNumId w:val="0"/>
  </w:num>
  <w:num w:numId="8" w16cid:durableId="294455015">
    <w:abstractNumId w:val="1"/>
  </w:num>
  <w:num w:numId="9" w16cid:durableId="1749838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30"/>
    <w:rsid w:val="00020BAE"/>
    <w:rsid w:val="00026C5C"/>
    <w:rsid w:val="00066903"/>
    <w:rsid w:val="00074B44"/>
    <w:rsid w:val="000F7C07"/>
    <w:rsid w:val="001029D1"/>
    <w:rsid w:val="00125ECB"/>
    <w:rsid w:val="001610AB"/>
    <w:rsid w:val="001959BE"/>
    <w:rsid w:val="001A205E"/>
    <w:rsid w:val="001D7B70"/>
    <w:rsid w:val="001E3131"/>
    <w:rsid w:val="001E7730"/>
    <w:rsid w:val="00221CD8"/>
    <w:rsid w:val="00253130"/>
    <w:rsid w:val="00283415"/>
    <w:rsid w:val="00283F91"/>
    <w:rsid w:val="002A0A3D"/>
    <w:rsid w:val="00336E67"/>
    <w:rsid w:val="00342532"/>
    <w:rsid w:val="0038066B"/>
    <w:rsid w:val="003A7EEC"/>
    <w:rsid w:val="003C4146"/>
    <w:rsid w:val="0041090C"/>
    <w:rsid w:val="00437F72"/>
    <w:rsid w:val="004475B5"/>
    <w:rsid w:val="0047418D"/>
    <w:rsid w:val="00476CAF"/>
    <w:rsid w:val="0048290F"/>
    <w:rsid w:val="004A7058"/>
    <w:rsid w:val="004B249C"/>
    <w:rsid w:val="004B623E"/>
    <w:rsid w:val="004D61EF"/>
    <w:rsid w:val="00516E53"/>
    <w:rsid w:val="0058609E"/>
    <w:rsid w:val="005C79AA"/>
    <w:rsid w:val="00674D66"/>
    <w:rsid w:val="00680077"/>
    <w:rsid w:val="006A5DE4"/>
    <w:rsid w:val="006F6804"/>
    <w:rsid w:val="00794229"/>
    <w:rsid w:val="007A499B"/>
    <w:rsid w:val="007B4EE6"/>
    <w:rsid w:val="007F37CE"/>
    <w:rsid w:val="00803762"/>
    <w:rsid w:val="00817B50"/>
    <w:rsid w:val="00823A8D"/>
    <w:rsid w:val="0083772B"/>
    <w:rsid w:val="0084424C"/>
    <w:rsid w:val="008A6A7F"/>
    <w:rsid w:val="008C46C0"/>
    <w:rsid w:val="008F1936"/>
    <w:rsid w:val="008F79DB"/>
    <w:rsid w:val="009216AF"/>
    <w:rsid w:val="00933AD6"/>
    <w:rsid w:val="00964B3C"/>
    <w:rsid w:val="00990B5A"/>
    <w:rsid w:val="009E279F"/>
    <w:rsid w:val="00A446E6"/>
    <w:rsid w:val="00A5519D"/>
    <w:rsid w:val="00A83EB2"/>
    <w:rsid w:val="00B109FA"/>
    <w:rsid w:val="00B32EF9"/>
    <w:rsid w:val="00BA022F"/>
    <w:rsid w:val="00BD1ED7"/>
    <w:rsid w:val="00BD269D"/>
    <w:rsid w:val="00BE5556"/>
    <w:rsid w:val="00C05F3F"/>
    <w:rsid w:val="00C15276"/>
    <w:rsid w:val="00D532A8"/>
    <w:rsid w:val="00D93978"/>
    <w:rsid w:val="00DB28ED"/>
    <w:rsid w:val="00DE3371"/>
    <w:rsid w:val="00DF41FA"/>
    <w:rsid w:val="00DF696F"/>
    <w:rsid w:val="00E43794"/>
    <w:rsid w:val="00E63609"/>
    <w:rsid w:val="00E731DF"/>
    <w:rsid w:val="00EB7169"/>
    <w:rsid w:val="00EC1B0B"/>
    <w:rsid w:val="00EF7CF5"/>
    <w:rsid w:val="00F12428"/>
    <w:rsid w:val="00F136F3"/>
    <w:rsid w:val="00F360C8"/>
    <w:rsid w:val="00F42278"/>
    <w:rsid w:val="00F60166"/>
    <w:rsid w:val="00F8215C"/>
    <w:rsid w:val="00FB4B20"/>
    <w:rsid w:val="00F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9577B"/>
  <w15:chartTrackingRefBased/>
  <w15:docId w15:val="{22C1DFB4-C87A-4256-B1ED-ECFFB852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3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130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List Paragraph11,L,Bullet Point,Bullet points,Content descriptions,Body Bullets 1,Bullet point"/>
    <w:basedOn w:val="Normal"/>
    <w:link w:val="ListParagraphChar"/>
    <w:uiPriority w:val="34"/>
    <w:qFormat/>
    <w:rsid w:val="00253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13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Recommendation Char,List Paragraph1 Char,List Paragraph11 Char,L Char,Bullet Point Char,Bullet points Char,Content descriptions Char,Body Bullets 1 Char,Bullet point Char"/>
    <w:link w:val="ListParagraph"/>
    <w:uiPriority w:val="34"/>
    <w:locked/>
    <w:rsid w:val="00253130"/>
  </w:style>
  <w:style w:type="paragraph" w:styleId="Header">
    <w:name w:val="header"/>
    <w:basedOn w:val="Normal"/>
    <w:link w:val="HeaderChar"/>
    <w:uiPriority w:val="99"/>
    <w:unhideWhenUsed/>
    <w:rsid w:val="0025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3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30"/>
    <w:rPr>
      <w:kern w:val="0"/>
      <w14:ligatures w14:val="none"/>
    </w:rPr>
  </w:style>
  <w:style w:type="paragraph" w:styleId="NoSpacing">
    <w:name w:val="No Spacing"/>
    <w:uiPriority w:val="1"/>
    <w:qFormat/>
    <w:rsid w:val="00253130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4B623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bs@sdcpartnership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E29D2CE3A9544AD06C7287BE80BC6" ma:contentTypeVersion="16" ma:contentTypeDescription="Create a new document." ma:contentTypeScope="" ma:versionID="76d6e6ee1d345fa45b95d28668cfa6c9">
  <xsd:schema xmlns:xsd="http://www.w3.org/2001/XMLSchema" xmlns:xs="http://www.w3.org/2001/XMLSchema" xmlns:p="http://schemas.microsoft.com/office/2006/metadata/properties" xmlns:ns2="50fd5076-637d-44b8-9e9f-3e83eb4b6429" xmlns:ns3="6e067e03-888c-45b0-8051-7897c713885d" targetNamespace="http://schemas.microsoft.com/office/2006/metadata/properties" ma:root="true" ma:fieldsID="38f51b29af20f5b46040515295908bed" ns2:_="" ns3:_="">
    <xsd:import namespace="50fd5076-637d-44b8-9e9f-3e83eb4b6429"/>
    <xsd:import namespace="6e067e03-888c-45b0-8051-7897c7138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5076-637d-44b8-9e9f-3e83eb4b6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8221e2-d8d9-44c5-af2e-896d694fc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7e03-888c-45b0-8051-7897c7138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ce70cc-12b7-43fd-846e-f68ad69228e3}" ma:internalName="TaxCatchAll" ma:showField="CatchAllData" ma:web="6e067e03-888c-45b0-8051-7897c7138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fd5076-637d-44b8-9e9f-3e83eb4b6429">
      <Terms xmlns="http://schemas.microsoft.com/office/infopath/2007/PartnerControls"/>
    </lcf76f155ced4ddcb4097134ff3c332f>
    <TaxCatchAll xmlns="6e067e03-888c-45b0-8051-7897c713885d" xsi:nil="true"/>
  </documentManagement>
</p:properties>
</file>

<file path=customXml/itemProps1.xml><?xml version="1.0" encoding="utf-8"?>
<ds:datastoreItem xmlns:ds="http://schemas.openxmlformats.org/officeDocument/2006/customXml" ds:itemID="{DC66C838-2498-4648-B003-DEFAE2D42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d5076-637d-44b8-9e9f-3e83eb4b6429"/>
    <ds:schemaRef ds:uri="6e067e03-888c-45b0-8051-7897c7138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6428B-FD9C-4FB9-BFB2-727BE9A06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AD5B0-CDD7-425D-BF29-2E837D53BF38}">
  <ds:schemaRefs>
    <ds:schemaRef ds:uri="http://schemas.microsoft.com/office/2006/metadata/properties"/>
    <ds:schemaRef ds:uri="http://schemas.microsoft.com/office/infopath/2007/PartnerControls"/>
    <ds:schemaRef ds:uri="50fd5076-637d-44b8-9e9f-3e83eb4b6429"/>
    <ds:schemaRef ds:uri="6e067e03-888c-45b0-8051-7897c71388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O'Shaughnessy</dc:creator>
  <cp:keywords/>
  <dc:description/>
  <cp:lastModifiedBy>Katarzyna Krzyz</cp:lastModifiedBy>
  <cp:revision>12</cp:revision>
  <dcterms:created xsi:type="dcterms:W3CDTF">2026-04-28T12:14:00Z</dcterms:created>
  <dcterms:modified xsi:type="dcterms:W3CDTF">2026-04-28T12:20:00Z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0x010100CC1E29D2CE3A9544AD06C7287BE80BC6</vt:lpwstr>
  </property>
  <property fmtid="{D5CDD505-2E9C-101B-9397-08002B2CF9AE}" pid="3" name="MediaServiceImageTags">
    <vt:lpwstr/>
  </property>
</Properties>
</file>